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Pr="00D77796" w:rsidRDefault="006F2C86" w:rsidP="00B0513F">
      <w:pPr>
        <w:pStyle w:val="Title"/>
      </w:pPr>
    </w:p>
    <w:p w14:paraId="39B16842" w14:textId="77777777" w:rsidR="006F2C86" w:rsidRPr="00D77796" w:rsidRDefault="006F2C86" w:rsidP="00B0513F">
      <w:pPr>
        <w:pStyle w:val="Title"/>
      </w:pPr>
    </w:p>
    <w:p w14:paraId="65F9831E" w14:textId="77777777" w:rsidR="006F2C86" w:rsidRPr="00D77796" w:rsidRDefault="006F2C86" w:rsidP="00B0513F">
      <w:pPr>
        <w:pStyle w:val="Title"/>
      </w:pPr>
    </w:p>
    <w:p w14:paraId="3027F941" w14:textId="77777777" w:rsidR="006F2C86" w:rsidRPr="00D77796" w:rsidRDefault="006F2C86" w:rsidP="00B0513F">
      <w:pPr>
        <w:pStyle w:val="Title"/>
      </w:pPr>
    </w:p>
    <w:p w14:paraId="651FD961" w14:textId="77777777" w:rsidR="006F2C86" w:rsidRPr="00D77796" w:rsidRDefault="006F2C86" w:rsidP="002F466B">
      <w:pPr>
        <w:pStyle w:val="Title"/>
        <w:jc w:val="both"/>
      </w:pPr>
    </w:p>
    <w:p w14:paraId="11E35C0C" w14:textId="77777777" w:rsidR="006F2C86" w:rsidRPr="00D77796" w:rsidRDefault="006F2C86" w:rsidP="00B0513F">
      <w:pPr>
        <w:pStyle w:val="Title"/>
      </w:pPr>
      <w:r w:rsidRPr="00D77796">
        <w:t>NATIONAL ANNEX</w:t>
      </w:r>
    </w:p>
    <w:p w14:paraId="5A4EEADC" w14:textId="77777777" w:rsidR="006F2C86" w:rsidRPr="00D77796" w:rsidRDefault="006F2C86" w:rsidP="00B0513F">
      <w:pPr>
        <w:pStyle w:val="Title"/>
      </w:pPr>
      <w:r w:rsidRPr="00D77796">
        <w:t>TO</w:t>
      </w:r>
    </w:p>
    <w:p w14:paraId="2094E419" w14:textId="0B5820D2" w:rsidR="006F2C86" w:rsidRPr="00D77796" w:rsidRDefault="006F2C86" w:rsidP="00B0513F">
      <w:pPr>
        <w:pStyle w:val="Title"/>
      </w:pPr>
      <w:r w:rsidRPr="00D77796">
        <w:t>CYS EN 199</w:t>
      </w:r>
      <w:r w:rsidR="002B64EB">
        <w:t>3</w:t>
      </w:r>
      <w:r w:rsidR="002F466B">
        <w:t>-1-1:2022</w:t>
      </w:r>
      <w:r w:rsidRPr="00D77796">
        <w:t xml:space="preserve"> Eurocode </w:t>
      </w:r>
      <w:r w:rsidR="002B64EB">
        <w:t>3</w:t>
      </w:r>
      <w:r w:rsidRPr="00D77796">
        <w:t xml:space="preserve">: </w:t>
      </w:r>
      <w:bookmarkStart w:id="0" w:name="_Hlk176797813"/>
      <w:r w:rsidR="00031077" w:rsidRPr="00D77796">
        <w:rPr>
          <w:sz w:val="30"/>
        </w:rPr>
        <w:t xml:space="preserve">Design of </w:t>
      </w:r>
      <w:bookmarkEnd w:id="0"/>
      <w:r w:rsidR="004D362B" w:rsidRPr="00F46624">
        <w:rPr>
          <w:szCs w:val="24"/>
        </w:rPr>
        <w:t>steel structures</w:t>
      </w:r>
    </w:p>
    <w:p w14:paraId="0078F426" w14:textId="7EE1FCC5" w:rsidR="006F2C86" w:rsidRDefault="00031077" w:rsidP="00B0513F">
      <w:pPr>
        <w:pStyle w:val="Title"/>
        <w:rPr>
          <w:sz w:val="30"/>
        </w:rPr>
      </w:pPr>
      <w:r w:rsidRPr="00D77796">
        <w:rPr>
          <w:sz w:val="30"/>
        </w:rPr>
        <w:t>Part 1-1: General rules</w:t>
      </w:r>
      <w:r w:rsidR="004D362B">
        <w:rPr>
          <w:sz w:val="30"/>
        </w:rPr>
        <w:t xml:space="preserve"> and rules for buildings</w:t>
      </w:r>
    </w:p>
    <w:p w14:paraId="1913D1DB" w14:textId="77777777" w:rsidR="002F466B" w:rsidRPr="00D77796" w:rsidRDefault="002F466B" w:rsidP="00B0513F">
      <w:pPr>
        <w:pStyle w:val="Title"/>
      </w:pPr>
    </w:p>
    <w:p w14:paraId="3B3B029D" w14:textId="14B9D70B" w:rsidR="006F2C86" w:rsidRPr="00D77796" w:rsidRDefault="00E3541E" w:rsidP="002277D1">
      <w:pPr>
        <w:pStyle w:val="Title10"/>
      </w:pPr>
      <w:r w:rsidRPr="00180F9A">
        <w:rPr>
          <w:highlight w:val="yellow"/>
          <w:lang w:val="en-GB"/>
        </w:rPr>
        <w:t xml:space="preserve">For Public Enquiry </w:t>
      </w:r>
      <w:r w:rsidR="005E0A73" w:rsidRPr="00180F9A">
        <w:rPr>
          <w:highlight w:val="yellow"/>
        </w:rPr>
        <w:t>-</w:t>
      </w:r>
      <w:r w:rsidR="00AD6450" w:rsidRPr="00180F9A">
        <w:rPr>
          <w:highlight w:val="yellow"/>
        </w:rPr>
        <w:t xml:space="preserve"> </w:t>
      </w:r>
      <w:r w:rsidR="002F466B" w:rsidRPr="00180F9A">
        <w:rPr>
          <w:highlight w:val="yellow"/>
        </w:rPr>
        <w:fldChar w:fldCharType="begin"/>
      </w:r>
      <w:r w:rsidR="002F466B" w:rsidRPr="00180F9A">
        <w:rPr>
          <w:highlight w:val="yellow"/>
        </w:rPr>
        <w:instrText xml:space="preserve"> SAVEDATE  \@ "MMMM d, yyyy"  \* MERGEFORMAT </w:instrText>
      </w:r>
      <w:r w:rsidR="002F466B" w:rsidRPr="00180F9A">
        <w:rPr>
          <w:highlight w:val="yellow"/>
        </w:rPr>
        <w:fldChar w:fldCharType="separate"/>
      </w:r>
      <w:r w:rsidR="00180F9A" w:rsidRPr="00180F9A">
        <w:rPr>
          <w:noProof/>
          <w:highlight w:val="yellow"/>
        </w:rPr>
        <w:t>April 2, 2026</w:t>
      </w:r>
      <w:r w:rsidR="002F466B" w:rsidRPr="00180F9A">
        <w:rPr>
          <w:highlight w:val="yellow"/>
        </w:rPr>
        <w:fldChar w:fldCharType="end"/>
      </w:r>
    </w:p>
    <w:p w14:paraId="61E00C56" w14:textId="77777777" w:rsidR="006F2C86" w:rsidRPr="00D77796" w:rsidRDefault="006F2C86" w:rsidP="004141A2">
      <w:pPr>
        <w:pStyle w:val="Title10"/>
      </w:pPr>
    </w:p>
    <w:p w14:paraId="6B463999" w14:textId="77777777" w:rsidR="006F2C86" w:rsidRPr="00D77796" w:rsidRDefault="006F2C86" w:rsidP="004141A2">
      <w:pPr>
        <w:pStyle w:val="Title10"/>
      </w:pPr>
    </w:p>
    <w:p w14:paraId="001C942D" w14:textId="77777777" w:rsidR="006F2C86" w:rsidRPr="00D77796" w:rsidRDefault="006F2C86" w:rsidP="004141A2">
      <w:pPr>
        <w:pStyle w:val="Title10"/>
      </w:pPr>
    </w:p>
    <w:p w14:paraId="636D43E8" w14:textId="77777777" w:rsidR="006F2C86" w:rsidRPr="00D77796" w:rsidRDefault="006F2C86" w:rsidP="004141A2">
      <w:pPr>
        <w:pStyle w:val="Title10"/>
      </w:pPr>
    </w:p>
    <w:p w14:paraId="71D31902" w14:textId="77777777" w:rsidR="006F2C86" w:rsidRPr="00D77796" w:rsidRDefault="006F2C86" w:rsidP="004141A2">
      <w:pPr>
        <w:pStyle w:val="Title10"/>
      </w:pPr>
    </w:p>
    <w:p w14:paraId="4A73685F" w14:textId="77777777" w:rsidR="006F2C86" w:rsidRPr="00D77796" w:rsidRDefault="006F2C86" w:rsidP="004141A2">
      <w:pPr>
        <w:pStyle w:val="Title10"/>
      </w:pPr>
    </w:p>
    <w:p w14:paraId="4877EE16" w14:textId="77777777" w:rsidR="006F2C86" w:rsidRPr="00D77796" w:rsidRDefault="006F2C86" w:rsidP="004141A2">
      <w:pPr>
        <w:pStyle w:val="Title10"/>
      </w:pPr>
    </w:p>
    <w:p w14:paraId="4567C8FC" w14:textId="77777777" w:rsidR="00031077" w:rsidRPr="00D77796" w:rsidRDefault="00031077" w:rsidP="004141A2">
      <w:pPr>
        <w:pStyle w:val="Title10"/>
      </w:pPr>
    </w:p>
    <w:p w14:paraId="5252F6C5" w14:textId="77777777" w:rsidR="00031077" w:rsidRPr="00D77796" w:rsidRDefault="00031077" w:rsidP="004141A2">
      <w:pPr>
        <w:pStyle w:val="Title10"/>
      </w:pPr>
    </w:p>
    <w:p w14:paraId="3075EF4A" w14:textId="77777777" w:rsidR="00031077" w:rsidRPr="00D77796" w:rsidRDefault="00031077" w:rsidP="004141A2">
      <w:pPr>
        <w:pStyle w:val="Title10"/>
      </w:pPr>
    </w:p>
    <w:p w14:paraId="6FA60074" w14:textId="77777777" w:rsidR="00031077" w:rsidRPr="00D77796" w:rsidRDefault="00031077" w:rsidP="004141A2">
      <w:pPr>
        <w:pStyle w:val="Title10"/>
      </w:pPr>
    </w:p>
    <w:p w14:paraId="7324E33E" w14:textId="77777777" w:rsidR="00031077" w:rsidRPr="00D77796" w:rsidRDefault="00031077" w:rsidP="004141A2">
      <w:pPr>
        <w:pStyle w:val="Title10"/>
      </w:pPr>
    </w:p>
    <w:p w14:paraId="3BF59936" w14:textId="1163C1BC" w:rsidR="006F2C86" w:rsidRPr="00D77796" w:rsidRDefault="006F2C86" w:rsidP="002277D1">
      <w:pPr>
        <w:pStyle w:val="Title2"/>
      </w:pPr>
      <w:r w:rsidRPr="00D77796">
        <w:t xml:space="preserve">Prepared by: </w:t>
      </w:r>
      <w:r w:rsidR="006E0616" w:rsidRPr="00D77796">
        <w:t>CYS TC 18</w:t>
      </w:r>
      <w:r w:rsidR="00984C8B" w:rsidRPr="00D77796">
        <w:t xml:space="preserve"> </w:t>
      </w:r>
      <w:r w:rsidR="006E0616" w:rsidRPr="00D77796">
        <w:t>EUROCODES</w:t>
      </w:r>
    </w:p>
    <w:p w14:paraId="5CD7B7A9" w14:textId="7761D438" w:rsidR="006F2C86" w:rsidRPr="00D77796" w:rsidRDefault="006F2C86" w:rsidP="00031077">
      <w:pPr>
        <w:pStyle w:val="Title2continue"/>
        <w:sectPr w:rsidR="006F2C86" w:rsidRPr="00D77796" w:rsidSect="00827B6C">
          <w:footerReference w:type="even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77796">
        <w:t>Cyprus</w:t>
      </w:r>
      <w:r w:rsidR="006E0616" w:rsidRPr="00D77796">
        <w:t xml:space="preserve"> </w:t>
      </w:r>
      <w:proofErr w:type="spellStart"/>
      <w:r w:rsidR="006E0616" w:rsidRPr="00D77796">
        <w:t>Organisation</w:t>
      </w:r>
      <w:proofErr w:type="spellEnd"/>
      <w:r w:rsidR="006E0616" w:rsidRPr="00D77796">
        <w:t xml:space="preserve"> for Standardisation </w:t>
      </w:r>
      <w:r w:rsidR="00984C8B" w:rsidRPr="00D77796">
        <w:t>(CYS)</w:t>
      </w:r>
    </w:p>
    <w:p w14:paraId="5AADC8AD" w14:textId="77777777" w:rsidR="000A78C5" w:rsidRPr="00D77796" w:rsidRDefault="000A78C5" w:rsidP="00250502">
      <w:pPr>
        <w:pStyle w:val="Title1"/>
      </w:pPr>
      <w:r w:rsidRPr="00D77796">
        <w:lastRenderedPageBreak/>
        <w:t>INTRODUCTION</w:t>
      </w:r>
    </w:p>
    <w:p w14:paraId="57F87F78" w14:textId="09E687DA" w:rsidR="000A78C5" w:rsidRPr="00D77796" w:rsidRDefault="00984C8B" w:rsidP="00A003FD">
      <w:pPr>
        <w:pStyle w:val="BodyText"/>
      </w:pPr>
      <w:r w:rsidRPr="00D47B56">
        <w:t xml:space="preserve">This National Annex has been prepared by the </w:t>
      </w:r>
      <w:r w:rsidRPr="00D77796">
        <w:t>CYS TC 18:</w:t>
      </w:r>
      <w:r w:rsidR="004D362B">
        <w:t xml:space="preserve"> </w:t>
      </w:r>
      <w:r w:rsidRPr="00D77796">
        <w:t xml:space="preserve">Eurocodes National Standardisation Technical Committee of Cyprus </w:t>
      </w:r>
      <w:proofErr w:type="spellStart"/>
      <w:r w:rsidRPr="00D47B56">
        <w:t>Organisation</w:t>
      </w:r>
      <w:proofErr w:type="spellEnd"/>
      <w:r w:rsidRPr="00D47B56">
        <w:t xml:space="preserve"> for Standardisation. (CYS)</w:t>
      </w:r>
    </w:p>
    <w:p w14:paraId="733F0AA3" w14:textId="77777777" w:rsidR="0037335B" w:rsidRPr="00D77796" w:rsidRDefault="0037335B" w:rsidP="00DE55A1">
      <w:pPr>
        <w:pStyle w:val="Heading1"/>
      </w:pPr>
      <w:bookmarkStart w:id="1" w:name="_Ref72559624"/>
      <w:r w:rsidRPr="00D77796">
        <w:t>SCOPE</w:t>
      </w:r>
      <w:bookmarkEnd w:id="1"/>
    </w:p>
    <w:p w14:paraId="54880C92" w14:textId="3551237E" w:rsidR="0037335B" w:rsidRPr="00D77796" w:rsidRDefault="00A003FD" w:rsidP="00A003FD">
      <w:pPr>
        <w:pStyle w:val="BodyText"/>
      </w:pPr>
      <w:r w:rsidRPr="00D77796">
        <w:t xml:space="preserve">This National Annex is to be used together with </w:t>
      </w:r>
      <w:r w:rsidR="00944A65" w:rsidRPr="00D77796">
        <w:t xml:space="preserve">CYS </w:t>
      </w:r>
      <w:r w:rsidRPr="00D77796">
        <w:t>EN 199</w:t>
      </w:r>
      <w:r w:rsidR="004D362B">
        <w:t>3</w:t>
      </w:r>
      <w:r w:rsidRPr="00D77796">
        <w:t>-1</w:t>
      </w:r>
      <w:r w:rsidR="00831CD7" w:rsidRPr="00D77796">
        <w:t>-1</w:t>
      </w:r>
      <w:r w:rsidRPr="00D77796">
        <w:t>:20</w:t>
      </w:r>
      <w:r w:rsidR="00831CD7" w:rsidRPr="00D77796">
        <w:t>2</w:t>
      </w:r>
      <w:r w:rsidR="004D362B">
        <w:t>2</w:t>
      </w:r>
    </w:p>
    <w:p w14:paraId="02571289" w14:textId="77777777" w:rsidR="00A003FD" w:rsidRPr="00D77796" w:rsidRDefault="00A003FD" w:rsidP="00A003FD">
      <w:pPr>
        <w:pStyle w:val="BodyText"/>
      </w:pPr>
      <w:r w:rsidRPr="00D77796">
        <w:t>This National Annex gives:</w:t>
      </w:r>
    </w:p>
    <w:p w14:paraId="616ECEE9" w14:textId="273BE266" w:rsidR="00A003FD" w:rsidRPr="00D77796" w:rsidRDefault="00A003FD" w:rsidP="00145129">
      <w:pPr>
        <w:pStyle w:val="Listletter"/>
      </w:pPr>
      <w:r w:rsidRPr="00D77796">
        <w:t>Nationally determined parameters for the following clauses of CYS EN 199</w:t>
      </w:r>
      <w:r w:rsidR="004D362B">
        <w:t>3</w:t>
      </w:r>
      <w:r w:rsidR="00831CD7" w:rsidRPr="00D77796">
        <w:t>-1</w:t>
      </w:r>
      <w:r w:rsidRPr="00D77796">
        <w:t>-1:20</w:t>
      </w:r>
      <w:r w:rsidR="00831CD7" w:rsidRPr="00D77796">
        <w:t>2</w:t>
      </w:r>
      <w:r w:rsidR="004D362B">
        <w:t>2</w:t>
      </w:r>
      <w:r w:rsidRPr="00D77796">
        <w:t xml:space="preserve"> where National choice is allowed (see Section NA 2)</w:t>
      </w:r>
    </w:p>
    <w:p w14:paraId="1DBBF43E" w14:textId="118D2EA8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4.4.3</w:t>
      </w:r>
      <w:r>
        <w:rPr>
          <w:color w:val="000000"/>
        </w:rPr>
        <w:t xml:space="preserve"> </w:t>
      </w:r>
      <w:r w:rsidRPr="004D362B">
        <w:rPr>
          <w:color w:val="000000"/>
        </w:rPr>
        <w:t>(2)</w:t>
      </w:r>
    </w:p>
    <w:p w14:paraId="37022287" w14:textId="45677352" w:rsidR="00031077" w:rsidRPr="004D362B" w:rsidRDefault="004D362B" w:rsidP="004D362B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5.1 (1)</w:t>
      </w:r>
    </w:p>
    <w:p w14:paraId="67F35EFF" w14:textId="7043972E" w:rsidR="00031077" w:rsidRPr="00CD3682" w:rsidRDefault="00031077" w:rsidP="00031077">
      <w:pPr>
        <w:pStyle w:val="ListParagraph"/>
        <w:numPr>
          <w:ilvl w:val="0"/>
          <w:numId w:val="25"/>
        </w:numPr>
        <w:rPr>
          <w:color w:val="000000"/>
          <w:highlight w:val="yellow"/>
        </w:rPr>
      </w:pPr>
      <w:r w:rsidRPr="00CD3682">
        <w:rPr>
          <w:color w:val="000000"/>
          <w:highlight w:val="yellow"/>
        </w:rPr>
        <w:t>5.2.1</w:t>
      </w:r>
      <w:r w:rsidR="004D362B" w:rsidRPr="00CD3682">
        <w:rPr>
          <w:color w:val="000000"/>
          <w:highlight w:val="yellow"/>
        </w:rPr>
        <w:t xml:space="preserve"> </w:t>
      </w:r>
      <w:r w:rsidRPr="00CD3682">
        <w:rPr>
          <w:color w:val="000000"/>
          <w:highlight w:val="yellow"/>
        </w:rPr>
        <w:t>(1)</w:t>
      </w:r>
    </w:p>
    <w:p w14:paraId="4813E7F9" w14:textId="6C0BA9BB" w:rsidR="004D362B" w:rsidRDefault="004D362B" w:rsidP="004D362B">
      <w:pPr>
        <w:pStyle w:val="ListParagraph"/>
        <w:numPr>
          <w:ilvl w:val="0"/>
          <w:numId w:val="25"/>
        </w:numPr>
        <w:rPr>
          <w:color w:val="000000"/>
        </w:rPr>
      </w:pPr>
      <w:r w:rsidRPr="00D77796">
        <w:rPr>
          <w:color w:val="000000"/>
        </w:rPr>
        <w:t>5.2.</w:t>
      </w:r>
      <w:r>
        <w:rPr>
          <w:color w:val="000000"/>
        </w:rPr>
        <w:t xml:space="preserve">2 </w:t>
      </w:r>
      <w:r w:rsidRPr="00D77796">
        <w:rPr>
          <w:color w:val="000000"/>
        </w:rPr>
        <w:t>(1)</w:t>
      </w:r>
    </w:p>
    <w:p w14:paraId="47A4CB8C" w14:textId="75A8E5C2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7.2.1 (4)</w:t>
      </w:r>
    </w:p>
    <w:p w14:paraId="2280E1B9" w14:textId="7681525C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7.2.2 (9)</w:t>
      </w:r>
    </w:p>
    <w:p w14:paraId="221C639D" w14:textId="167B6C0A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7.3.3.1</w:t>
      </w:r>
      <w:r>
        <w:rPr>
          <w:color w:val="000000"/>
        </w:rPr>
        <w:t xml:space="preserve"> </w:t>
      </w:r>
      <w:r w:rsidRPr="004D362B">
        <w:rPr>
          <w:color w:val="000000"/>
        </w:rPr>
        <w:t>(1)</w:t>
      </w:r>
    </w:p>
    <w:p w14:paraId="282F8926" w14:textId="17EC6DEA" w:rsidR="004D362B" w:rsidRDefault="004D362B" w:rsidP="004D362B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7.3.3.</w:t>
      </w:r>
      <w:r>
        <w:rPr>
          <w:color w:val="000000"/>
        </w:rPr>
        <w:t xml:space="preserve">2 </w:t>
      </w:r>
      <w:r w:rsidRPr="004D362B">
        <w:rPr>
          <w:color w:val="000000"/>
        </w:rPr>
        <w:t>(1)</w:t>
      </w:r>
    </w:p>
    <w:p w14:paraId="284DE392" w14:textId="644158E9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7.4.1</w:t>
      </w:r>
      <w:r>
        <w:rPr>
          <w:color w:val="000000"/>
        </w:rPr>
        <w:t xml:space="preserve"> </w:t>
      </w:r>
      <w:r w:rsidRPr="004D362B">
        <w:rPr>
          <w:color w:val="000000"/>
        </w:rPr>
        <w:t>(3)</w:t>
      </w:r>
    </w:p>
    <w:p w14:paraId="2E3253A1" w14:textId="2229D976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8.1 (1)</w:t>
      </w:r>
    </w:p>
    <w:p w14:paraId="170D9927" w14:textId="2424ED42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8.2.8 (3)</w:t>
      </w:r>
    </w:p>
    <w:p w14:paraId="44973999" w14:textId="3123DFB0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8.3.2.3 (1)</w:t>
      </w:r>
    </w:p>
    <w:p w14:paraId="3B2F212A" w14:textId="272F589B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8.3.3 (2)</w:t>
      </w:r>
    </w:p>
    <w:p w14:paraId="31F3A35C" w14:textId="78D9D6B2" w:rsidR="004D362B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8.3.4 (1)</w:t>
      </w:r>
    </w:p>
    <w:p w14:paraId="3C51B688" w14:textId="3E7BF135" w:rsidR="004D362B" w:rsidRPr="00D77796" w:rsidRDefault="004D362B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4D362B">
        <w:rPr>
          <w:color w:val="000000"/>
        </w:rPr>
        <w:t>9.2 (2)B</w:t>
      </w:r>
    </w:p>
    <w:p w14:paraId="185D75D4" w14:textId="33E14C8E" w:rsidR="00031077" w:rsidRPr="00D77796" w:rsidRDefault="00031077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D77796">
        <w:rPr>
          <w:color w:val="000000"/>
        </w:rPr>
        <w:t>A.4</w:t>
      </w:r>
      <w:r w:rsidR="004D362B">
        <w:rPr>
          <w:color w:val="000000"/>
        </w:rPr>
        <w:t xml:space="preserve"> </w:t>
      </w:r>
      <w:r w:rsidRPr="00D77796">
        <w:rPr>
          <w:color w:val="000000"/>
        </w:rPr>
        <w:t>(</w:t>
      </w:r>
      <w:r w:rsidR="004D362B">
        <w:rPr>
          <w:color w:val="000000"/>
        </w:rPr>
        <w:t>2</w:t>
      </w:r>
      <w:r w:rsidRPr="00D77796">
        <w:rPr>
          <w:color w:val="000000"/>
        </w:rPr>
        <w:t>)</w:t>
      </w:r>
    </w:p>
    <w:p w14:paraId="547E15AA" w14:textId="6C9F41E4" w:rsidR="00031077" w:rsidRPr="00D77796" w:rsidRDefault="00031077" w:rsidP="00031077">
      <w:pPr>
        <w:pStyle w:val="ListParagraph"/>
        <w:numPr>
          <w:ilvl w:val="0"/>
          <w:numId w:val="25"/>
        </w:numPr>
        <w:rPr>
          <w:color w:val="000000"/>
        </w:rPr>
      </w:pPr>
      <w:r w:rsidRPr="00D77796">
        <w:rPr>
          <w:color w:val="000000"/>
        </w:rPr>
        <w:t>A.4</w:t>
      </w:r>
      <w:r w:rsidR="004D362B">
        <w:rPr>
          <w:color w:val="000000"/>
        </w:rPr>
        <w:t xml:space="preserve"> </w:t>
      </w:r>
      <w:r w:rsidRPr="00D77796">
        <w:rPr>
          <w:color w:val="000000"/>
        </w:rPr>
        <w:t>(3)</w:t>
      </w:r>
    </w:p>
    <w:p w14:paraId="340B17ED" w14:textId="34AFB9CC" w:rsidR="00031077" w:rsidRPr="004D362B" w:rsidRDefault="00031077" w:rsidP="004D362B">
      <w:pPr>
        <w:pStyle w:val="ListParagraph"/>
        <w:numPr>
          <w:ilvl w:val="0"/>
          <w:numId w:val="25"/>
        </w:numPr>
        <w:rPr>
          <w:color w:val="000000"/>
        </w:rPr>
      </w:pPr>
      <w:r w:rsidRPr="00D77796">
        <w:rPr>
          <w:color w:val="000000"/>
        </w:rPr>
        <w:t>A.4</w:t>
      </w:r>
      <w:r w:rsidR="004D362B">
        <w:rPr>
          <w:color w:val="000000"/>
        </w:rPr>
        <w:t xml:space="preserve"> </w:t>
      </w:r>
      <w:r w:rsidRPr="00D77796">
        <w:rPr>
          <w:color w:val="000000"/>
        </w:rPr>
        <w:t>(</w:t>
      </w:r>
      <w:r w:rsidR="004D362B">
        <w:rPr>
          <w:color w:val="000000"/>
        </w:rPr>
        <w:t>5</w:t>
      </w:r>
      <w:r w:rsidRPr="00D77796">
        <w:rPr>
          <w:color w:val="000000"/>
        </w:rPr>
        <w:t>)</w:t>
      </w:r>
    </w:p>
    <w:p w14:paraId="6198772E" w14:textId="77777777" w:rsidR="00B35765" w:rsidRPr="00D77796" w:rsidRDefault="00B35765" w:rsidP="00B35765"/>
    <w:p w14:paraId="3121126D" w14:textId="54778539" w:rsidR="00A003FD" w:rsidRPr="00D77796" w:rsidRDefault="002E6369" w:rsidP="00831CD7">
      <w:pPr>
        <w:pStyle w:val="Listletter"/>
      </w:pPr>
      <w:r w:rsidRPr="00D77796">
        <w:t xml:space="preserve">Decision on the use of the Informative Annex </w:t>
      </w:r>
      <w:r w:rsidR="004D362B">
        <w:t xml:space="preserve">E </w:t>
      </w:r>
      <w:r w:rsidRPr="00D77796">
        <w:t>(see Section NA 3)</w:t>
      </w:r>
      <w:r w:rsidR="00831CD7" w:rsidRPr="00D77796">
        <w:t>.</w:t>
      </w:r>
    </w:p>
    <w:p w14:paraId="5CCCBCF5" w14:textId="6D2D9CD5" w:rsidR="002E6369" w:rsidRDefault="002E6369" w:rsidP="00145129">
      <w:pPr>
        <w:pStyle w:val="Listletter"/>
      </w:pPr>
      <w:r w:rsidRPr="00D77796">
        <w:t>References to non-contradictory complementary information to assis</w:t>
      </w:r>
      <w:r w:rsidR="006A2987" w:rsidRPr="00D77796">
        <w:t>t</w:t>
      </w:r>
      <w:r w:rsidRPr="00D77796">
        <w:t xml:space="preserve"> the user to apply CYS EN 199</w:t>
      </w:r>
      <w:r w:rsidR="004D362B">
        <w:t>3</w:t>
      </w:r>
      <w:r w:rsidR="00831CD7" w:rsidRPr="00D77796">
        <w:t>-1</w:t>
      </w:r>
      <w:r w:rsidRPr="00D77796">
        <w:t>-1:20</w:t>
      </w:r>
      <w:r w:rsidR="00831CD7" w:rsidRPr="00D77796">
        <w:t>2</w:t>
      </w:r>
      <w:r w:rsidR="004D362B">
        <w:t>2</w:t>
      </w:r>
      <w:r w:rsidR="00931846" w:rsidRPr="00D77796">
        <w:t>. In this National Annex such information is provided for the following clauses in CYS EN 199</w:t>
      </w:r>
      <w:r w:rsidR="004D362B">
        <w:t>3</w:t>
      </w:r>
      <w:r w:rsidR="00931846" w:rsidRPr="00D77796">
        <w:t>-1-1:202</w:t>
      </w:r>
      <w:r w:rsidR="004D362B">
        <w:t>2</w:t>
      </w:r>
      <w:r w:rsidR="00931846" w:rsidRPr="00D77796">
        <w:t xml:space="preserve"> (see Section NA 4).</w:t>
      </w:r>
    </w:p>
    <w:p w14:paraId="3579E948" w14:textId="77777777" w:rsidR="007131FE" w:rsidRPr="00D77796" w:rsidRDefault="007131FE" w:rsidP="00DE55A1">
      <w:pPr>
        <w:pStyle w:val="Heading1"/>
      </w:pPr>
      <w:r w:rsidRPr="00D77796">
        <w:t>NATIONALLY DETERMINED PARAMETERS</w:t>
      </w:r>
    </w:p>
    <w:p w14:paraId="6EDE4CB1" w14:textId="4AD3A2C8" w:rsidR="00AE7CCD" w:rsidRDefault="00B0513F" w:rsidP="00E67F70">
      <w:pPr>
        <w:pStyle w:val="Heading2"/>
      </w:pPr>
      <w:r w:rsidRPr="00D47B56">
        <w:t xml:space="preserve">Clause </w:t>
      </w:r>
      <w:r w:rsidR="00765F14" w:rsidRPr="00D47B56">
        <w:t>4.</w:t>
      </w:r>
      <w:r w:rsidR="00AE7CCD">
        <w:t>4</w:t>
      </w:r>
      <w:r w:rsidR="00765F14" w:rsidRPr="00D47B56">
        <w:t>.</w:t>
      </w:r>
      <w:r w:rsidR="00AE7CCD">
        <w:t>3</w:t>
      </w:r>
      <w:r w:rsidR="00765F14" w:rsidRPr="00D47B56">
        <w:t>(</w:t>
      </w:r>
      <w:r w:rsidR="00AE7CCD">
        <w:t>2</w:t>
      </w:r>
      <w:r w:rsidR="00765F14" w:rsidRPr="00D47B56">
        <w:t>)</w:t>
      </w:r>
      <w:r w:rsidR="00D5683A" w:rsidRPr="00D77796">
        <w:t xml:space="preserve"> </w:t>
      </w:r>
      <w:r w:rsidR="00AE7CCD" w:rsidRPr="00AE7CCD">
        <w:t>Design values of geometrical properties</w:t>
      </w:r>
    </w:p>
    <w:p w14:paraId="53B5DBB4" w14:textId="02BA5F76" w:rsidR="00E12E9E" w:rsidRPr="00D77796" w:rsidRDefault="00931846" w:rsidP="00E12E9E">
      <w:pPr>
        <w:pStyle w:val="BodyText"/>
        <w:jc w:val="left"/>
      </w:pPr>
      <w:r w:rsidRPr="00D47B56">
        <w:t xml:space="preserve">No </w:t>
      </w:r>
      <w:r w:rsidR="00AE7CCD">
        <w:t>provisions are given for the calculation of fillet radius.</w:t>
      </w:r>
    </w:p>
    <w:p w14:paraId="6CF5C097" w14:textId="083ECBCE" w:rsidR="0086031B" w:rsidRPr="0086031B" w:rsidRDefault="00B0513F" w:rsidP="00CD3682">
      <w:pPr>
        <w:pStyle w:val="Heading2"/>
      </w:pPr>
      <w:r w:rsidRPr="00D77796">
        <w:t xml:space="preserve">Clause </w:t>
      </w:r>
      <w:r w:rsidR="00AE7CCD">
        <w:t>5</w:t>
      </w:r>
      <w:r w:rsidRPr="00D77796">
        <w:t>.</w:t>
      </w:r>
      <w:r w:rsidR="00AE7CCD">
        <w:t>1 (1)</w:t>
      </w:r>
      <w:r w:rsidR="00722279" w:rsidRPr="00D77796">
        <w:t xml:space="preserve"> </w:t>
      </w:r>
      <w:r w:rsidR="00AE7CCD">
        <w:t>General</w:t>
      </w:r>
    </w:p>
    <w:p w14:paraId="1828A6F8" w14:textId="3D55E5B1" w:rsidR="00765F14" w:rsidRPr="00D77796" w:rsidRDefault="00AE7CCD" w:rsidP="00CD3682">
      <w:pPr>
        <w:pStyle w:val="BodyText"/>
      </w:pPr>
      <w:r>
        <w:t>No o</w:t>
      </w:r>
      <w:r w:rsidRPr="00AE7CCD">
        <w:t xml:space="preserve">ther steel materials and products </w:t>
      </w:r>
      <w:r>
        <w:t>are given.</w:t>
      </w:r>
      <w:r w:rsidRPr="00AE7CCD">
        <w:t xml:space="preserve"> </w:t>
      </w:r>
    </w:p>
    <w:p w14:paraId="1D59EAB6" w14:textId="71C0233F" w:rsidR="00B0513F" w:rsidRPr="00D47B56" w:rsidRDefault="00322A42" w:rsidP="00E67F70">
      <w:pPr>
        <w:pStyle w:val="Heading2"/>
      </w:pPr>
      <w:r w:rsidRPr="00D77796">
        <w:t xml:space="preserve">Clause </w:t>
      </w:r>
      <w:r w:rsidR="00AE7CCD">
        <w:t>5</w:t>
      </w:r>
      <w:r w:rsidRPr="00D77796">
        <w:t>.</w:t>
      </w:r>
      <w:r w:rsidR="00AE7CCD">
        <w:t>2</w:t>
      </w:r>
      <w:r w:rsidR="0040743C">
        <w:t>.1</w:t>
      </w:r>
      <w:r w:rsidR="00AE7CCD">
        <w:t xml:space="preserve"> </w:t>
      </w:r>
      <w:r w:rsidRPr="00D77796">
        <w:t>(</w:t>
      </w:r>
      <w:r w:rsidR="00722279" w:rsidRPr="00D77796">
        <w:t>1</w:t>
      </w:r>
      <w:r w:rsidRPr="00D77796">
        <w:t>)</w:t>
      </w:r>
      <w:bookmarkStart w:id="2" w:name="_Ref512505153"/>
      <w:bookmarkStart w:id="3" w:name="_Toc438495411"/>
      <w:bookmarkStart w:id="4" w:name="_Toc508823553"/>
      <w:bookmarkStart w:id="5" w:name="_Toc42528413"/>
      <w:bookmarkStart w:id="6" w:name="_Toc42528585"/>
      <w:bookmarkStart w:id="7" w:name="_Toc107495673"/>
      <w:r w:rsidR="00722279" w:rsidRPr="00D47B56">
        <w:rPr>
          <w:rFonts w:ascii="Cambria" w:eastAsia="MS Mincho" w:hAnsi="Cambria" w:cs="Cambria"/>
          <w:szCs w:val="20"/>
          <w:lang w:eastAsia="fr-FR"/>
        </w:rPr>
        <w:t xml:space="preserve"> </w:t>
      </w:r>
      <w:bookmarkEnd w:id="2"/>
      <w:bookmarkEnd w:id="3"/>
      <w:bookmarkEnd w:id="4"/>
      <w:bookmarkEnd w:id="5"/>
      <w:bookmarkEnd w:id="6"/>
      <w:bookmarkEnd w:id="7"/>
      <w:r w:rsidR="00AE7CCD">
        <w:t xml:space="preserve">Material </w:t>
      </w:r>
      <w:r w:rsidR="0040743C">
        <w:t>p</w:t>
      </w:r>
      <w:r w:rsidR="00AE7CCD">
        <w:t>roperties</w:t>
      </w:r>
    </w:p>
    <w:p w14:paraId="693FC848" w14:textId="3A3E4D53" w:rsidR="00BE4D92" w:rsidRDefault="00CF5F1D" w:rsidP="00CD3682">
      <w:pPr>
        <w:pStyle w:val="BodyText"/>
        <w:rPr>
          <w:lang w:val="en-GB"/>
        </w:rPr>
      </w:pPr>
      <w:r>
        <w:rPr>
          <w:lang w:val="en-GB"/>
        </w:rPr>
        <w:t xml:space="preserve">Approach b) shall be used. </w:t>
      </w:r>
      <w:r w:rsidR="00BE4D92" w:rsidRPr="00BE4D92">
        <w:rPr>
          <w:lang w:val="en-GB"/>
        </w:rPr>
        <w:t xml:space="preserve">The nominal values of the yield strength </w:t>
      </w:r>
      <w:proofErr w:type="spellStart"/>
      <w:r w:rsidR="00BE4D92" w:rsidRPr="00CD3682">
        <w:rPr>
          <w:i/>
          <w:iCs/>
          <w:lang w:val="en-GB"/>
        </w:rPr>
        <w:t>f</w:t>
      </w:r>
      <w:r w:rsidR="00BE4D92" w:rsidRPr="00CD3682">
        <w:rPr>
          <w:vertAlign w:val="subscript"/>
          <w:lang w:val="en-GB"/>
        </w:rPr>
        <w:t>y</w:t>
      </w:r>
      <w:proofErr w:type="spellEnd"/>
      <w:r w:rsidR="00BE4D92" w:rsidRPr="00BE4D92">
        <w:rPr>
          <w:lang w:val="en-GB"/>
        </w:rPr>
        <w:t xml:space="preserve"> and the ultimate tensile strength </w:t>
      </w:r>
      <w:r w:rsidR="00BE4D92" w:rsidRPr="00CD3682">
        <w:rPr>
          <w:i/>
          <w:iCs/>
          <w:lang w:val="en-GB"/>
        </w:rPr>
        <w:t>f</w:t>
      </w:r>
      <w:r w:rsidR="00BE4D92" w:rsidRPr="00CD3682">
        <w:rPr>
          <w:vertAlign w:val="subscript"/>
          <w:lang w:val="en-GB"/>
        </w:rPr>
        <w:t>u</w:t>
      </w:r>
      <w:r w:rsidR="00BE4D92" w:rsidRPr="00BE4D92">
        <w:rPr>
          <w:lang w:val="en-GB"/>
        </w:rPr>
        <w:t xml:space="preserve"> for structural steel </w:t>
      </w:r>
      <w:r w:rsidR="00BE4D92">
        <w:rPr>
          <w:lang w:val="en-GB"/>
        </w:rPr>
        <w:t xml:space="preserve">are given </w:t>
      </w:r>
      <w:r w:rsidR="00BE4D92" w:rsidRPr="00BE4D92">
        <w:rPr>
          <w:lang w:val="en-GB"/>
        </w:rPr>
        <w:t>in Table 5.1</w:t>
      </w:r>
      <w:r w:rsidR="00D51E5A">
        <w:rPr>
          <w:lang w:val="en-GB"/>
        </w:rPr>
        <w:t>(CYS)</w:t>
      </w:r>
      <w:r w:rsidR="00BE4D92" w:rsidRPr="00BE4D92">
        <w:rPr>
          <w:lang w:val="en-GB"/>
        </w:rPr>
        <w:t xml:space="preserve"> for steel conforming to EN 10025 (all parts), EN 10210 (all parts) and EN 10219 (all parts), and in Table 5.2</w:t>
      </w:r>
      <w:r w:rsidR="001A5377">
        <w:rPr>
          <w:lang w:val="en-GB"/>
        </w:rPr>
        <w:t xml:space="preserve"> (CYS)</w:t>
      </w:r>
      <w:r w:rsidR="00BE4D92" w:rsidRPr="00BE4D92">
        <w:rPr>
          <w:lang w:val="en-GB"/>
        </w:rPr>
        <w:t xml:space="preserve"> for steel </w:t>
      </w:r>
      <w:r w:rsidR="00BE4D92" w:rsidRPr="00BE4D92">
        <w:rPr>
          <w:lang w:val="en-GB"/>
        </w:rPr>
        <w:lastRenderedPageBreak/>
        <w:t>conforming to EN 10149 (all parts</w:t>
      </w:r>
      <w:r w:rsidRPr="00BE4D92">
        <w:rPr>
          <w:lang w:val="en-GB"/>
        </w:rPr>
        <w:t>)</w:t>
      </w:r>
      <w:r>
        <w:rPr>
          <w:lang w:val="en-GB"/>
        </w:rPr>
        <w:t>.</w:t>
      </w:r>
      <w:r w:rsidR="00F66CAE">
        <w:rPr>
          <w:lang w:val="en-GB"/>
        </w:rPr>
        <w:t xml:space="preserve"> No rules are provided for the use of the steels according to Table 5.1 (CYS) and Table 5.2 (CYS) are provided.</w:t>
      </w:r>
    </w:p>
    <w:p w14:paraId="1A051134" w14:textId="77777777" w:rsidR="00CD3682" w:rsidRDefault="00CD3682" w:rsidP="00CD3682">
      <w:pPr>
        <w:pStyle w:val="BodyText"/>
        <w:rPr>
          <w:lang w:val="en-GB"/>
        </w:rPr>
      </w:pPr>
    </w:p>
    <w:p w14:paraId="26927A91" w14:textId="501DD179" w:rsidR="00BE4D92" w:rsidRPr="00BE4D92" w:rsidRDefault="00BE4D92" w:rsidP="00CD3682">
      <w:pPr>
        <w:pStyle w:val="TableCaption"/>
        <w:rPr>
          <w:rFonts w:eastAsia="Calibri"/>
          <w:lang w:val="en-GB" w:eastAsia="en-US"/>
        </w:rPr>
      </w:pPr>
      <w:r w:rsidRPr="00BE4D92">
        <w:rPr>
          <w:rFonts w:eastAsia="Calibri"/>
          <w:lang w:val="en-GB" w:eastAsia="en-US"/>
        </w:rPr>
        <w:t>Table</w:t>
      </w:r>
      <w:r w:rsidR="00E67F70">
        <w:rPr>
          <w:rFonts w:eastAsia="Calibri"/>
          <w:lang w:val="en-GB" w:eastAsia="en-US"/>
        </w:rPr>
        <w:t xml:space="preserve"> </w:t>
      </w:r>
      <w:r w:rsidRPr="00BE4D92">
        <w:rPr>
          <w:rFonts w:eastAsia="Calibri"/>
          <w:lang w:val="en-GB" w:eastAsia="en-US"/>
        </w:rPr>
        <w:t>5.1</w:t>
      </w:r>
      <w:r w:rsidR="00D51E5A" w:rsidRPr="00D51E5A">
        <w:rPr>
          <w:rFonts w:eastAsia="Calibri"/>
          <w:lang w:eastAsia="en-US"/>
        </w:rPr>
        <w:t>(</w:t>
      </w:r>
      <w:r w:rsidR="00D51E5A">
        <w:rPr>
          <w:rFonts w:eastAsia="Calibri"/>
          <w:lang w:val="en-GB" w:eastAsia="en-US"/>
        </w:rPr>
        <w:t>CYS</w:t>
      </w:r>
      <w:r w:rsidR="00E67F70">
        <w:rPr>
          <w:rFonts w:eastAsia="Calibri"/>
          <w:lang w:val="en-GB" w:eastAsia="en-US"/>
        </w:rPr>
        <w:t xml:space="preserve">) </w:t>
      </w:r>
      <w:r w:rsidRPr="00BE4D92">
        <w:rPr>
          <w:rFonts w:eastAsia="Calibri"/>
          <w:lang w:val="en-GB" w:eastAsia="en-US"/>
        </w:rPr>
        <w:t>—</w:t>
      </w:r>
      <w:r w:rsidR="00E67F70">
        <w:rPr>
          <w:rFonts w:eastAsia="Calibri"/>
          <w:lang w:val="en-GB" w:eastAsia="en-US"/>
        </w:rPr>
        <w:t xml:space="preserve"> </w:t>
      </w:r>
      <w:r w:rsidRPr="00BE4D92">
        <w:rPr>
          <w:rFonts w:eastAsia="Calibri"/>
          <w:lang w:val="en-GB" w:eastAsia="en-US"/>
        </w:rPr>
        <w:t xml:space="preserve">Nominal values of yield strength </w:t>
      </w:r>
      <w:proofErr w:type="spellStart"/>
      <w:r w:rsidRPr="00BE4D92">
        <w:rPr>
          <w:rFonts w:eastAsia="Calibri"/>
          <w:i/>
          <w:lang w:val="en-GB" w:eastAsia="en-US"/>
        </w:rPr>
        <w:t>f</w:t>
      </w:r>
      <w:proofErr w:type="spellEnd"/>
      <w:r w:rsidRPr="00BE4D92">
        <w:rPr>
          <w:rFonts w:eastAsia="Calibri"/>
          <w:position w:val="-6"/>
          <w:sz w:val="18"/>
          <w:lang w:val="en-GB" w:eastAsia="en-US"/>
        </w:rPr>
        <w:t>y</w:t>
      </w:r>
      <w:r w:rsidRPr="00BE4D92">
        <w:rPr>
          <w:rFonts w:eastAsia="Calibri"/>
          <w:lang w:val="en-GB" w:eastAsia="en-US"/>
        </w:rPr>
        <w:t xml:space="preserve"> and ultimate tensile strength </w:t>
      </w:r>
      <w:proofErr w:type="spellStart"/>
      <w:r w:rsidRPr="00BE4D92">
        <w:rPr>
          <w:rFonts w:eastAsia="Calibri"/>
          <w:i/>
          <w:lang w:val="en-GB" w:eastAsia="en-US"/>
        </w:rPr>
        <w:t>f</w:t>
      </w:r>
      <w:proofErr w:type="spellEnd"/>
      <w:r w:rsidRPr="00BE4D92">
        <w:rPr>
          <w:rFonts w:eastAsia="Calibri"/>
          <w:position w:val="-6"/>
          <w:sz w:val="18"/>
          <w:lang w:val="en-GB" w:eastAsia="en-US"/>
        </w:rPr>
        <w:t>u</w:t>
      </w:r>
      <w:r w:rsidRPr="00BE4D92">
        <w:rPr>
          <w:rFonts w:eastAsia="Calibri"/>
          <w:lang w:val="en-GB" w:eastAsia="en-US"/>
        </w:rPr>
        <w:t xml:space="preserve"> for structural steels conforming to the following standards: EN 10025 (all parts), EN 10210 (all parts), and EN 10219 (all parts)</w:t>
      </w:r>
    </w:p>
    <w:tbl>
      <w:tblPr>
        <w:tblStyle w:val="TableGrid51"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4" w:type="dxa"/>
          <w:right w:w="74" w:type="dxa"/>
        </w:tblCellMar>
        <w:tblLook w:val="0420" w:firstRow="1" w:lastRow="0" w:firstColumn="0" w:lastColumn="0" w:noHBand="0" w:noVBand="1"/>
      </w:tblPr>
      <w:tblGrid>
        <w:gridCol w:w="1793"/>
        <w:gridCol w:w="1989"/>
        <w:gridCol w:w="1990"/>
        <w:gridCol w:w="1990"/>
        <w:gridCol w:w="1990"/>
      </w:tblGrid>
      <w:tr w:rsidR="00BE4D92" w:rsidRPr="00BE4D92" w14:paraId="61682117" w14:textId="77777777" w:rsidTr="0010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7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4CA6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b/>
                <w:sz w:val="22"/>
                <w:lang w:val="en-GB" w:eastAsia="en-US"/>
              </w:rPr>
              <w:t>Steel grade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a</w:t>
            </w:r>
          </w:p>
        </w:tc>
        <w:tc>
          <w:tcPr>
            <w:tcW w:w="7959" w:type="dxa"/>
            <w:gridSpan w:val="4"/>
            <w:tcBorders>
              <w:top w:val="single" w:sz="12" w:space="0" w:color="auto"/>
            </w:tcBorders>
            <w:vAlign w:val="center"/>
          </w:tcPr>
          <w:p w14:paraId="0786382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b/>
                <w:sz w:val="22"/>
                <w:lang w:val="en-GB" w:eastAsia="en-US"/>
              </w:rPr>
              <w:t>Nominal thickness of the element</w:t>
            </w:r>
          </w:p>
          <w:p w14:paraId="4323E18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t</w:t>
            </w:r>
          </w:p>
          <w:p w14:paraId="528F602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mm</w:t>
            </w:r>
          </w:p>
        </w:tc>
      </w:tr>
      <w:tr w:rsidR="00BE4D92" w:rsidRPr="00BE4D92" w14:paraId="25E43EFF" w14:textId="77777777" w:rsidTr="0010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793" w:type="dxa"/>
            <w:vMerge/>
            <w:tcBorders>
              <w:top w:val="single" w:sz="12" w:space="0" w:color="auto"/>
            </w:tcBorders>
            <w:vAlign w:val="center"/>
          </w:tcPr>
          <w:p w14:paraId="72CA4B4A" w14:textId="77777777" w:rsidR="00BE4D92" w:rsidRPr="00BE4D92" w:rsidRDefault="00BE4D92" w:rsidP="00BE4D92">
            <w:pPr>
              <w:spacing w:before="60" w:after="60" w:line="240" w:lineRule="atLeast"/>
              <w:jc w:val="center"/>
              <w:rPr>
                <w:rFonts w:eastAsia="MS Mincho"/>
                <w:sz w:val="22"/>
                <w:szCs w:val="22"/>
                <w:lang w:val="en-GB" w:eastAsia="ja-JP"/>
              </w:rPr>
            </w:pPr>
          </w:p>
        </w:tc>
        <w:tc>
          <w:tcPr>
            <w:tcW w:w="3979" w:type="dxa"/>
            <w:gridSpan w:val="2"/>
            <w:vAlign w:val="center"/>
          </w:tcPr>
          <w:p w14:paraId="55B7513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t</w:t>
            </w:r>
            <w:r w:rsidRPr="00BE4D92">
              <w:rPr>
                <w:rFonts w:eastAsia="Calibri"/>
                <w:sz w:val="22"/>
                <w:lang w:val="en-GB" w:eastAsia="en-US"/>
              </w:rPr>
              <w:t> ≤ 40 mm</w:t>
            </w:r>
          </w:p>
        </w:tc>
        <w:tc>
          <w:tcPr>
            <w:tcW w:w="3980" w:type="dxa"/>
            <w:gridSpan w:val="2"/>
            <w:vAlign w:val="center"/>
          </w:tcPr>
          <w:p w14:paraId="74B3843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40 mm &lt; </w:t>
            </w:r>
            <w:r w:rsidRPr="00BE4D92">
              <w:rPr>
                <w:rFonts w:eastAsia="Calibri"/>
                <w:i/>
                <w:sz w:val="22"/>
                <w:lang w:val="en-GB" w:eastAsia="en-US"/>
              </w:rPr>
              <w:t>t</w:t>
            </w:r>
            <w:r w:rsidRPr="00BE4D92">
              <w:rPr>
                <w:rFonts w:eastAsia="Calibri"/>
                <w:sz w:val="22"/>
                <w:lang w:val="en-GB" w:eastAsia="en-US"/>
              </w:rPr>
              <w:t> ≤ 80 mm</w:t>
            </w:r>
          </w:p>
        </w:tc>
      </w:tr>
      <w:tr w:rsidR="00BE4D92" w:rsidRPr="00BE4D92" w14:paraId="65632A85" w14:textId="77777777" w:rsidTr="0010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793" w:type="dxa"/>
            <w:vMerge/>
            <w:tcBorders>
              <w:bottom w:val="single" w:sz="12" w:space="0" w:color="auto"/>
            </w:tcBorders>
            <w:vAlign w:val="center"/>
          </w:tcPr>
          <w:p w14:paraId="405190C8" w14:textId="77777777" w:rsidR="00BE4D92" w:rsidRPr="00BE4D92" w:rsidRDefault="00BE4D92" w:rsidP="00BE4D92">
            <w:pPr>
              <w:spacing w:before="60" w:after="60" w:line="240" w:lineRule="atLeast"/>
              <w:jc w:val="center"/>
              <w:rPr>
                <w:rFonts w:eastAsia="MS Mincho"/>
                <w:sz w:val="22"/>
                <w:szCs w:val="22"/>
                <w:lang w:val="en-GB" w:eastAsia="ja-JP"/>
              </w:rPr>
            </w:pPr>
          </w:p>
        </w:tc>
        <w:tc>
          <w:tcPr>
            <w:tcW w:w="1989" w:type="dxa"/>
            <w:tcBorders>
              <w:bottom w:val="single" w:sz="12" w:space="0" w:color="auto"/>
            </w:tcBorders>
            <w:vAlign w:val="center"/>
          </w:tcPr>
          <w:p w14:paraId="142C21D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y</w:t>
            </w:r>
          </w:p>
          <w:p w14:paraId="7C1A54F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193AAC9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u</w:t>
            </w:r>
          </w:p>
          <w:p w14:paraId="7AFB4E41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15F5FF1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y</w:t>
            </w:r>
          </w:p>
          <w:p w14:paraId="1946CE9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4C6F950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u</w:t>
            </w:r>
          </w:p>
          <w:p w14:paraId="6FB3F24B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</w:tr>
      <w:tr w:rsidR="00BE4D92" w:rsidRPr="00BE4D92" w14:paraId="69E782B2" w14:textId="77777777" w:rsidTr="001000A2">
        <w:trPr>
          <w:cantSplit/>
          <w:jc w:val="center"/>
        </w:trPr>
        <w:tc>
          <w:tcPr>
            <w:tcW w:w="1793" w:type="dxa"/>
            <w:tcBorders>
              <w:top w:val="single" w:sz="12" w:space="0" w:color="auto"/>
            </w:tcBorders>
            <w:vAlign w:val="center"/>
          </w:tcPr>
          <w:p w14:paraId="28631326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S235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14:paraId="7BE262A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235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vAlign w:val="center"/>
          </w:tcPr>
          <w:p w14:paraId="36F0B12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360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vAlign w:val="center"/>
          </w:tcPr>
          <w:p w14:paraId="4AC946C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215</w:t>
            </w:r>
          </w:p>
        </w:tc>
        <w:tc>
          <w:tcPr>
            <w:tcW w:w="1990" w:type="dxa"/>
            <w:tcBorders>
              <w:top w:val="single" w:sz="12" w:space="0" w:color="auto"/>
            </w:tcBorders>
            <w:vAlign w:val="center"/>
          </w:tcPr>
          <w:p w14:paraId="26AD858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360</w:t>
            </w:r>
          </w:p>
        </w:tc>
      </w:tr>
      <w:tr w:rsidR="00BE4D92" w:rsidRPr="00BE4D92" w14:paraId="1088610B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718DE8E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S275</w:t>
            </w:r>
          </w:p>
        </w:tc>
        <w:tc>
          <w:tcPr>
            <w:tcW w:w="1989" w:type="dxa"/>
            <w:vAlign w:val="center"/>
          </w:tcPr>
          <w:p w14:paraId="6C2C40D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275</w:t>
            </w:r>
          </w:p>
        </w:tc>
        <w:tc>
          <w:tcPr>
            <w:tcW w:w="1990" w:type="dxa"/>
            <w:vAlign w:val="center"/>
          </w:tcPr>
          <w:p w14:paraId="78BFE24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390</w:t>
            </w:r>
          </w:p>
        </w:tc>
        <w:tc>
          <w:tcPr>
            <w:tcW w:w="1990" w:type="dxa"/>
            <w:vAlign w:val="center"/>
          </w:tcPr>
          <w:p w14:paraId="7459835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245</w:t>
            </w:r>
          </w:p>
        </w:tc>
        <w:tc>
          <w:tcPr>
            <w:tcW w:w="1990" w:type="dxa"/>
            <w:vAlign w:val="center"/>
          </w:tcPr>
          <w:p w14:paraId="29111CB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370</w:t>
            </w:r>
          </w:p>
        </w:tc>
      </w:tr>
      <w:tr w:rsidR="00BE4D92" w:rsidRPr="00BE4D92" w14:paraId="5AC93E5A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5AFFA96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S355</w:t>
            </w:r>
          </w:p>
        </w:tc>
        <w:tc>
          <w:tcPr>
            <w:tcW w:w="1989" w:type="dxa"/>
            <w:vAlign w:val="center"/>
          </w:tcPr>
          <w:p w14:paraId="1D13B0E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355</w:t>
            </w:r>
          </w:p>
        </w:tc>
        <w:tc>
          <w:tcPr>
            <w:tcW w:w="1990" w:type="dxa"/>
            <w:vAlign w:val="center"/>
          </w:tcPr>
          <w:p w14:paraId="1776AD3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490</w:t>
            </w:r>
          </w:p>
        </w:tc>
        <w:tc>
          <w:tcPr>
            <w:tcW w:w="1990" w:type="dxa"/>
            <w:vAlign w:val="center"/>
          </w:tcPr>
          <w:p w14:paraId="3EDFF74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325</w:t>
            </w:r>
          </w:p>
        </w:tc>
        <w:tc>
          <w:tcPr>
            <w:tcW w:w="1990" w:type="dxa"/>
            <w:vAlign w:val="center"/>
          </w:tcPr>
          <w:p w14:paraId="311DAED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470</w:t>
            </w:r>
          </w:p>
        </w:tc>
      </w:tr>
      <w:tr w:rsidR="00BE4D92" w:rsidRPr="00BE4D92" w14:paraId="33DC5534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7569F12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S420</w:t>
            </w:r>
          </w:p>
        </w:tc>
        <w:tc>
          <w:tcPr>
            <w:tcW w:w="1989" w:type="dxa"/>
            <w:vAlign w:val="center"/>
          </w:tcPr>
          <w:p w14:paraId="7C54C1E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420</w:t>
            </w:r>
          </w:p>
        </w:tc>
        <w:tc>
          <w:tcPr>
            <w:tcW w:w="1990" w:type="dxa"/>
            <w:vAlign w:val="center"/>
          </w:tcPr>
          <w:p w14:paraId="5A9E997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510</w:t>
            </w:r>
          </w:p>
        </w:tc>
        <w:tc>
          <w:tcPr>
            <w:tcW w:w="1990" w:type="dxa"/>
            <w:vAlign w:val="center"/>
          </w:tcPr>
          <w:p w14:paraId="117199F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390</w:t>
            </w:r>
          </w:p>
        </w:tc>
        <w:tc>
          <w:tcPr>
            <w:tcW w:w="1990" w:type="dxa"/>
            <w:vAlign w:val="center"/>
          </w:tcPr>
          <w:p w14:paraId="4E2D1DC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490</w:t>
            </w:r>
          </w:p>
        </w:tc>
      </w:tr>
      <w:tr w:rsidR="00BE4D92" w:rsidRPr="00BE4D92" w14:paraId="20DB1AAD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26BD73A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S460</w:t>
            </w:r>
          </w:p>
        </w:tc>
        <w:tc>
          <w:tcPr>
            <w:tcW w:w="1989" w:type="dxa"/>
            <w:vAlign w:val="center"/>
          </w:tcPr>
          <w:p w14:paraId="4D0B67C6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460</w:t>
            </w:r>
          </w:p>
        </w:tc>
        <w:tc>
          <w:tcPr>
            <w:tcW w:w="1990" w:type="dxa"/>
            <w:vAlign w:val="center"/>
          </w:tcPr>
          <w:p w14:paraId="4998EC0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540</w:t>
            </w:r>
          </w:p>
        </w:tc>
        <w:tc>
          <w:tcPr>
            <w:tcW w:w="1990" w:type="dxa"/>
            <w:vAlign w:val="center"/>
          </w:tcPr>
          <w:p w14:paraId="0AA46F6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410</w:t>
            </w:r>
          </w:p>
        </w:tc>
        <w:tc>
          <w:tcPr>
            <w:tcW w:w="1990" w:type="dxa"/>
            <w:vAlign w:val="center"/>
          </w:tcPr>
          <w:p w14:paraId="6151F97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510</w:t>
            </w:r>
          </w:p>
        </w:tc>
      </w:tr>
      <w:tr w:rsidR="00BE4D92" w:rsidRPr="00BE4D92" w14:paraId="62E08AEA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109B224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S500</w:t>
            </w:r>
          </w:p>
        </w:tc>
        <w:tc>
          <w:tcPr>
            <w:tcW w:w="1989" w:type="dxa"/>
            <w:vAlign w:val="center"/>
          </w:tcPr>
          <w:p w14:paraId="2A7F104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500</w:t>
            </w:r>
          </w:p>
        </w:tc>
        <w:tc>
          <w:tcPr>
            <w:tcW w:w="1990" w:type="dxa"/>
            <w:vAlign w:val="center"/>
          </w:tcPr>
          <w:p w14:paraId="67A051C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580</w:t>
            </w:r>
          </w:p>
        </w:tc>
        <w:tc>
          <w:tcPr>
            <w:tcW w:w="1990" w:type="dxa"/>
            <w:vAlign w:val="center"/>
          </w:tcPr>
          <w:p w14:paraId="0C6D2A6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450</w:t>
            </w:r>
          </w:p>
        </w:tc>
        <w:tc>
          <w:tcPr>
            <w:tcW w:w="1990" w:type="dxa"/>
            <w:vAlign w:val="center"/>
          </w:tcPr>
          <w:p w14:paraId="5300DB0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580</w:t>
            </w:r>
          </w:p>
        </w:tc>
      </w:tr>
      <w:tr w:rsidR="00BE4D92" w:rsidRPr="00BE4D92" w14:paraId="4B2B5AED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5B3E234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S550</w:t>
            </w:r>
          </w:p>
        </w:tc>
        <w:tc>
          <w:tcPr>
            <w:tcW w:w="1989" w:type="dxa"/>
            <w:vAlign w:val="center"/>
          </w:tcPr>
          <w:p w14:paraId="79DB2BD5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550</w:t>
            </w:r>
          </w:p>
        </w:tc>
        <w:tc>
          <w:tcPr>
            <w:tcW w:w="1990" w:type="dxa"/>
            <w:vAlign w:val="center"/>
          </w:tcPr>
          <w:p w14:paraId="682D858F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</w:p>
        </w:tc>
        <w:tc>
          <w:tcPr>
            <w:tcW w:w="1990" w:type="dxa"/>
            <w:vAlign w:val="center"/>
          </w:tcPr>
          <w:p w14:paraId="3569B07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500</w:t>
            </w:r>
          </w:p>
        </w:tc>
        <w:tc>
          <w:tcPr>
            <w:tcW w:w="1990" w:type="dxa"/>
            <w:vAlign w:val="center"/>
          </w:tcPr>
          <w:p w14:paraId="32A3A63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</w:p>
        </w:tc>
      </w:tr>
      <w:tr w:rsidR="00BE4D92" w:rsidRPr="00BE4D92" w14:paraId="4543F394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594C079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S600</w:t>
            </w:r>
          </w:p>
        </w:tc>
        <w:tc>
          <w:tcPr>
            <w:tcW w:w="1989" w:type="dxa"/>
            <w:vAlign w:val="center"/>
          </w:tcPr>
          <w:p w14:paraId="54CD2A3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</w:p>
        </w:tc>
        <w:tc>
          <w:tcPr>
            <w:tcW w:w="1990" w:type="dxa"/>
            <w:vAlign w:val="center"/>
          </w:tcPr>
          <w:p w14:paraId="5DD9567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650</w:t>
            </w:r>
          </w:p>
        </w:tc>
        <w:tc>
          <w:tcPr>
            <w:tcW w:w="1990" w:type="dxa"/>
            <w:vAlign w:val="center"/>
          </w:tcPr>
          <w:p w14:paraId="75D644C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550</w:t>
            </w:r>
          </w:p>
        </w:tc>
        <w:tc>
          <w:tcPr>
            <w:tcW w:w="1990" w:type="dxa"/>
            <w:vAlign w:val="center"/>
          </w:tcPr>
          <w:p w14:paraId="38197FA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650</w:t>
            </w:r>
          </w:p>
        </w:tc>
      </w:tr>
      <w:tr w:rsidR="00BE4D92" w:rsidRPr="00BE4D92" w14:paraId="3FE96732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5AE4458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S620</w:t>
            </w:r>
          </w:p>
        </w:tc>
        <w:tc>
          <w:tcPr>
            <w:tcW w:w="1989" w:type="dxa"/>
            <w:vAlign w:val="center"/>
          </w:tcPr>
          <w:p w14:paraId="024C91A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620</w:t>
            </w:r>
          </w:p>
        </w:tc>
        <w:tc>
          <w:tcPr>
            <w:tcW w:w="1990" w:type="dxa"/>
            <w:vAlign w:val="center"/>
          </w:tcPr>
          <w:p w14:paraId="4E7BA6C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700</w:t>
            </w:r>
          </w:p>
        </w:tc>
        <w:tc>
          <w:tcPr>
            <w:tcW w:w="1990" w:type="dxa"/>
            <w:vAlign w:val="center"/>
          </w:tcPr>
          <w:p w14:paraId="78BAF41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560</w:t>
            </w:r>
          </w:p>
        </w:tc>
        <w:tc>
          <w:tcPr>
            <w:tcW w:w="1990" w:type="dxa"/>
            <w:vAlign w:val="center"/>
          </w:tcPr>
          <w:p w14:paraId="3733239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660</w:t>
            </w:r>
          </w:p>
        </w:tc>
      </w:tr>
      <w:tr w:rsidR="00BE4D92" w:rsidRPr="00BE4D92" w14:paraId="569FC11D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7828AEF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S650</w:t>
            </w:r>
          </w:p>
        </w:tc>
        <w:tc>
          <w:tcPr>
            <w:tcW w:w="1989" w:type="dxa"/>
            <w:vAlign w:val="center"/>
          </w:tcPr>
          <w:p w14:paraId="4BCE5191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650</w:t>
            </w:r>
          </w:p>
        </w:tc>
        <w:tc>
          <w:tcPr>
            <w:tcW w:w="1990" w:type="dxa"/>
            <w:vAlign w:val="center"/>
          </w:tcPr>
          <w:p w14:paraId="451BF4E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700</w:t>
            </w:r>
          </w:p>
        </w:tc>
        <w:tc>
          <w:tcPr>
            <w:tcW w:w="1990" w:type="dxa"/>
            <w:vAlign w:val="center"/>
          </w:tcPr>
          <w:p w14:paraId="5C900C5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-</w:t>
            </w:r>
          </w:p>
        </w:tc>
        <w:tc>
          <w:tcPr>
            <w:tcW w:w="1990" w:type="dxa"/>
            <w:vAlign w:val="center"/>
          </w:tcPr>
          <w:p w14:paraId="1D36B3E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-</w:t>
            </w:r>
          </w:p>
        </w:tc>
      </w:tr>
      <w:tr w:rsidR="00BE4D92" w:rsidRPr="00BE4D92" w14:paraId="0B65AC27" w14:textId="77777777" w:rsidTr="001000A2">
        <w:trPr>
          <w:cantSplit/>
          <w:jc w:val="center"/>
        </w:trPr>
        <w:tc>
          <w:tcPr>
            <w:tcW w:w="1793" w:type="dxa"/>
            <w:vAlign w:val="center"/>
          </w:tcPr>
          <w:p w14:paraId="49C0517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S690</w:t>
            </w:r>
          </w:p>
        </w:tc>
        <w:tc>
          <w:tcPr>
            <w:tcW w:w="1989" w:type="dxa"/>
            <w:vAlign w:val="center"/>
          </w:tcPr>
          <w:p w14:paraId="720263EC" w14:textId="77777777" w:rsidR="00BE4D92" w:rsidRPr="00BE4D92" w:rsidDel="00FE5085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690</w:t>
            </w:r>
          </w:p>
        </w:tc>
        <w:tc>
          <w:tcPr>
            <w:tcW w:w="1990" w:type="dxa"/>
            <w:vAlign w:val="center"/>
          </w:tcPr>
          <w:p w14:paraId="60C05430" w14:textId="77777777" w:rsidR="00BE4D92" w:rsidRPr="00BE4D92" w:rsidDel="00FE5085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770</w:t>
            </w:r>
          </w:p>
        </w:tc>
        <w:tc>
          <w:tcPr>
            <w:tcW w:w="1990" w:type="dxa"/>
            <w:vAlign w:val="center"/>
          </w:tcPr>
          <w:p w14:paraId="4D6A8E3A" w14:textId="77777777" w:rsidR="00BE4D92" w:rsidRPr="00BE4D92" w:rsidDel="00FE5085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630</w:t>
            </w:r>
          </w:p>
        </w:tc>
        <w:tc>
          <w:tcPr>
            <w:tcW w:w="1990" w:type="dxa"/>
            <w:vAlign w:val="center"/>
          </w:tcPr>
          <w:p w14:paraId="0BDF2A47" w14:textId="77777777" w:rsidR="00BE4D92" w:rsidRPr="00BE4D92" w:rsidDel="00FE5085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710</w:t>
            </w:r>
          </w:p>
        </w:tc>
      </w:tr>
      <w:tr w:rsidR="00BE4D92" w:rsidRPr="00BE4D92" w14:paraId="1A8D36E9" w14:textId="77777777" w:rsidTr="001000A2">
        <w:trPr>
          <w:cantSplit/>
          <w:jc w:val="center"/>
        </w:trPr>
        <w:tc>
          <w:tcPr>
            <w:tcW w:w="1793" w:type="dxa"/>
            <w:tcBorders>
              <w:bottom w:val="single" w:sz="12" w:space="0" w:color="auto"/>
            </w:tcBorders>
            <w:vAlign w:val="center"/>
          </w:tcPr>
          <w:p w14:paraId="568A1D26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S700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vAlign w:val="center"/>
          </w:tcPr>
          <w:p w14:paraId="0B8D118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700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3DE5150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750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18653405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-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7D89624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-</w:t>
            </w:r>
          </w:p>
        </w:tc>
      </w:tr>
      <w:tr w:rsidR="00BE4D92" w:rsidRPr="00BE4D92" w14:paraId="71B475BD" w14:textId="77777777" w:rsidTr="001000A2">
        <w:trPr>
          <w:cantSplit/>
          <w:jc w:val="center"/>
        </w:trPr>
        <w:tc>
          <w:tcPr>
            <w:tcW w:w="975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043C4" w14:textId="77777777" w:rsidR="00BE4D92" w:rsidRPr="00BE4D92" w:rsidRDefault="00BE4D92" w:rsidP="00BE4D9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60" w:after="60" w:line="200" w:lineRule="atLeast"/>
              <w:rPr>
                <w:rFonts w:eastAsia="Calibri"/>
                <w:sz w:val="20"/>
                <w:szCs w:val="22"/>
                <w:lang w:val="en-GB" w:eastAsia="en-US"/>
              </w:rPr>
            </w:pPr>
            <w:r w:rsidRPr="00BE4D92">
              <w:rPr>
                <w:rFonts w:eastAsia="Calibri"/>
                <w:position w:val="6"/>
                <w:sz w:val="16"/>
                <w:lang w:val="en-GB" w:eastAsia="en-US"/>
              </w:rPr>
              <w:t>a</w:t>
            </w:r>
            <w:r w:rsidRPr="00BE4D92">
              <w:rPr>
                <w:rFonts w:eastAsia="Calibri"/>
                <w:sz w:val="20"/>
                <w:lang w:val="en-GB" w:eastAsia="en-US"/>
              </w:rPr>
              <w:tab/>
            </w:r>
            <w:proofErr w:type="gramStart"/>
            <w:r w:rsidRPr="00BE4D92">
              <w:rPr>
                <w:rFonts w:eastAsia="Calibri"/>
                <w:sz w:val="20"/>
                <w:lang w:val="en-GB" w:eastAsia="en-US"/>
              </w:rPr>
              <w:t>Principal symbols</w:t>
            </w:r>
            <w:proofErr w:type="gramEnd"/>
            <w:r w:rsidRPr="00BE4D92">
              <w:rPr>
                <w:rFonts w:eastAsia="Calibri"/>
                <w:sz w:val="20"/>
                <w:lang w:val="en-GB" w:eastAsia="en-US"/>
              </w:rPr>
              <w:t xml:space="preserve"> in EN 10027</w:t>
            </w:r>
            <w:r w:rsidRPr="00BE4D92">
              <w:rPr>
                <w:rFonts w:eastAsia="Calibri"/>
                <w:sz w:val="20"/>
                <w:lang w:val="en-GB" w:eastAsia="en-US"/>
              </w:rPr>
              <w:noBreakHyphen/>
              <w:t>1.</w:t>
            </w:r>
          </w:p>
        </w:tc>
      </w:tr>
    </w:tbl>
    <w:p w14:paraId="1FAF8411" w14:textId="77777777" w:rsidR="00BE4D92" w:rsidRDefault="00BE4D92" w:rsidP="00CD3682">
      <w:pPr>
        <w:pStyle w:val="BodyText"/>
        <w:rPr>
          <w:lang w:val="en-GB"/>
        </w:rPr>
      </w:pPr>
    </w:p>
    <w:p w14:paraId="4AD8F748" w14:textId="6328849E" w:rsidR="00BE4D92" w:rsidRPr="00BE4D92" w:rsidRDefault="00BE4D92" w:rsidP="00CD3682">
      <w:pPr>
        <w:pStyle w:val="TableCaption"/>
        <w:rPr>
          <w:rFonts w:eastAsia="Calibri"/>
          <w:lang w:val="en-GB" w:eastAsia="en-US"/>
        </w:rPr>
      </w:pPr>
      <w:bookmarkStart w:id="8" w:name="_Hlk209733159"/>
      <w:r w:rsidRPr="00BE4D92">
        <w:rPr>
          <w:rFonts w:eastAsia="Calibri"/>
          <w:lang w:val="en-GB" w:eastAsia="en-US"/>
        </w:rPr>
        <w:t>Table 5.2</w:t>
      </w:r>
      <w:r w:rsidR="00D51E5A">
        <w:rPr>
          <w:rFonts w:eastAsia="Calibri"/>
          <w:lang w:val="en-GB" w:eastAsia="en-US"/>
        </w:rPr>
        <w:t xml:space="preserve"> (CYS)</w:t>
      </w:r>
      <w:r w:rsidRPr="00BE4D92">
        <w:rPr>
          <w:rFonts w:eastAsia="Calibri"/>
          <w:lang w:val="en-GB" w:eastAsia="en-US"/>
        </w:rPr>
        <w:t xml:space="preserve"> — Nominal values of yield strength </w:t>
      </w:r>
      <w:proofErr w:type="spellStart"/>
      <w:r w:rsidRPr="00BE4D92">
        <w:rPr>
          <w:rFonts w:eastAsia="Calibri"/>
          <w:i/>
          <w:lang w:val="en-GB" w:eastAsia="en-US"/>
        </w:rPr>
        <w:t>f</w:t>
      </w:r>
      <w:proofErr w:type="spellEnd"/>
      <w:r w:rsidRPr="00BE4D92">
        <w:rPr>
          <w:rFonts w:eastAsia="Calibri"/>
          <w:position w:val="-6"/>
          <w:sz w:val="18"/>
          <w:lang w:val="en-GB" w:eastAsia="en-US"/>
        </w:rPr>
        <w:t>y</w:t>
      </w:r>
      <w:r w:rsidRPr="00BE4D92">
        <w:rPr>
          <w:rFonts w:eastAsia="Calibri"/>
          <w:lang w:val="en-GB" w:eastAsia="en-US"/>
        </w:rPr>
        <w:t xml:space="preserve"> and ultimate tensile strength </w:t>
      </w:r>
      <w:proofErr w:type="spellStart"/>
      <w:r w:rsidRPr="00BE4D92">
        <w:rPr>
          <w:rFonts w:eastAsia="Calibri"/>
          <w:i/>
          <w:lang w:val="en-GB" w:eastAsia="en-US"/>
        </w:rPr>
        <w:t>f</w:t>
      </w:r>
      <w:proofErr w:type="spellEnd"/>
      <w:r w:rsidRPr="00BE4D92">
        <w:rPr>
          <w:rFonts w:eastAsia="Calibri"/>
          <w:position w:val="-6"/>
          <w:sz w:val="18"/>
          <w:lang w:val="en-GB" w:eastAsia="en-US"/>
        </w:rPr>
        <w:t>u</w:t>
      </w:r>
      <w:r w:rsidRPr="00BE4D92">
        <w:rPr>
          <w:rFonts w:eastAsia="Calibri"/>
          <w:lang w:val="en-GB" w:eastAsia="en-US"/>
        </w:rPr>
        <w:t xml:space="preserve"> for hot rolled flat products for cold-forming, according to EN 10149-2 and EN 10149-3</w:t>
      </w:r>
    </w:p>
    <w:tbl>
      <w:tblPr>
        <w:tblStyle w:val="TableGrid52"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20" w:firstRow="1" w:lastRow="0" w:firstColumn="0" w:lastColumn="0" w:noHBand="0" w:noVBand="1"/>
      </w:tblPr>
      <w:tblGrid>
        <w:gridCol w:w="2277"/>
        <w:gridCol w:w="1868"/>
        <w:gridCol w:w="1869"/>
        <w:gridCol w:w="1869"/>
        <w:gridCol w:w="1869"/>
      </w:tblGrid>
      <w:tr w:rsidR="00BE4D92" w:rsidRPr="00BE4D92" w14:paraId="7AE191E8" w14:textId="77777777" w:rsidTr="0010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22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365AB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b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b/>
                <w:sz w:val="22"/>
                <w:lang w:val="en-GB" w:eastAsia="en-US"/>
              </w:rPr>
              <w:t>Standards, Grades and quality</w:t>
            </w:r>
          </w:p>
        </w:tc>
        <w:tc>
          <w:tcPr>
            <w:tcW w:w="7475" w:type="dxa"/>
            <w:gridSpan w:val="4"/>
            <w:tcBorders>
              <w:top w:val="single" w:sz="12" w:space="0" w:color="auto"/>
            </w:tcBorders>
            <w:vAlign w:val="center"/>
          </w:tcPr>
          <w:p w14:paraId="31B002C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b/>
                <w:sz w:val="22"/>
                <w:lang w:val="en-GB" w:eastAsia="en-US"/>
              </w:rPr>
              <w:t>Nominal thickness of the element</w:t>
            </w:r>
          </w:p>
          <w:p w14:paraId="4868365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t</w:t>
            </w:r>
          </w:p>
          <w:p w14:paraId="60FA3C2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mm</w:t>
            </w:r>
          </w:p>
        </w:tc>
      </w:tr>
      <w:tr w:rsidR="00BE4D92" w:rsidRPr="00BE4D92" w14:paraId="5DBB8284" w14:textId="77777777" w:rsidTr="0010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2277" w:type="dxa"/>
            <w:vMerge/>
            <w:tcBorders>
              <w:top w:val="single" w:sz="12" w:space="0" w:color="auto"/>
            </w:tcBorders>
            <w:vAlign w:val="center"/>
          </w:tcPr>
          <w:p w14:paraId="3AA75BE8" w14:textId="77777777" w:rsidR="00BE4D92" w:rsidRPr="00BE4D92" w:rsidRDefault="00BE4D92" w:rsidP="00BE4D92">
            <w:pPr>
              <w:keepNext/>
              <w:spacing w:before="60" w:after="60" w:line="240" w:lineRule="atLeast"/>
              <w:jc w:val="center"/>
              <w:rPr>
                <w:rFonts w:ascii="Cambria Math" w:eastAsia="MS Mincho" w:hAnsi="Cambria Math"/>
                <w:sz w:val="22"/>
                <w:szCs w:val="22"/>
                <w:lang w:val="en-GB" w:eastAsia="ja-JP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417D990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t</w:t>
            </w:r>
            <w:r w:rsidRPr="00BE4D92">
              <w:rPr>
                <w:rFonts w:eastAsia="Calibri"/>
                <w:sz w:val="22"/>
                <w:lang w:val="en-GB" w:eastAsia="en-US"/>
              </w:rPr>
              <w:t> ≤ 8 mm</w:t>
            </w:r>
          </w:p>
        </w:tc>
        <w:tc>
          <w:tcPr>
            <w:tcW w:w="3738" w:type="dxa"/>
            <w:gridSpan w:val="2"/>
            <w:vAlign w:val="center"/>
          </w:tcPr>
          <w:p w14:paraId="0A64F29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8 mm &lt; </w:t>
            </w:r>
            <w:r w:rsidRPr="00BE4D92">
              <w:rPr>
                <w:rFonts w:eastAsia="Calibri"/>
                <w:i/>
                <w:sz w:val="22"/>
                <w:lang w:val="en-GB" w:eastAsia="en-US"/>
              </w:rPr>
              <w:t>t</w:t>
            </w:r>
            <w:r w:rsidRPr="00BE4D92">
              <w:rPr>
                <w:rFonts w:eastAsia="Calibri"/>
                <w:sz w:val="22"/>
                <w:lang w:val="en-GB" w:eastAsia="en-US"/>
              </w:rPr>
              <w:t> ≤ 20 mm</w:t>
            </w:r>
          </w:p>
        </w:tc>
      </w:tr>
      <w:tr w:rsidR="00BE4D92" w:rsidRPr="00BE4D92" w14:paraId="7A4C5273" w14:textId="77777777" w:rsidTr="00100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2277" w:type="dxa"/>
            <w:vMerge/>
            <w:tcBorders>
              <w:bottom w:val="single" w:sz="12" w:space="0" w:color="auto"/>
            </w:tcBorders>
            <w:vAlign w:val="center"/>
          </w:tcPr>
          <w:p w14:paraId="7D8ADEDC" w14:textId="77777777" w:rsidR="00BE4D92" w:rsidRPr="00BE4D92" w:rsidRDefault="00BE4D92" w:rsidP="00BE4D92">
            <w:pPr>
              <w:keepNext/>
              <w:spacing w:before="60" w:after="60" w:line="240" w:lineRule="atLeast"/>
              <w:jc w:val="center"/>
              <w:rPr>
                <w:rFonts w:ascii="Cambria Math" w:eastAsia="MS Mincho" w:hAnsi="Cambria Math"/>
                <w:sz w:val="22"/>
                <w:szCs w:val="22"/>
                <w:lang w:val="en-GB" w:eastAsia="ja-JP"/>
              </w:rPr>
            </w:pPr>
          </w:p>
        </w:tc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5394A71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y</w:t>
            </w:r>
          </w:p>
          <w:p w14:paraId="08DBF3DB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7926D6BF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u</w:t>
            </w:r>
          </w:p>
          <w:p w14:paraId="6209547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1AF98B6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y</w:t>
            </w:r>
          </w:p>
          <w:p w14:paraId="7264ECA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24D738B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lang w:val="en-GB" w:eastAsia="en-US"/>
              </w:rPr>
            </w:pPr>
            <w:r w:rsidRPr="00BE4D92">
              <w:rPr>
                <w:rFonts w:eastAsia="Calibri"/>
                <w:i/>
                <w:sz w:val="22"/>
                <w:lang w:val="en-GB" w:eastAsia="en-US"/>
              </w:rPr>
              <w:t>f</w:t>
            </w:r>
            <w:r w:rsidRPr="00BE4D92">
              <w:rPr>
                <w:rFonts w:eastAsia="Calibri"/>
                <w:position w:val="-6"/>
                <w:sz w:val="18"/>
                <w:lang w:val="en-GB" w:eastAsia="en-US"/>
              </w:rPr>
              <w:t>u</w:t>
            </w:r>
          </w:p>
          <w:p w14:paraId="6FA7253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ascii="Cambria Math" w:eastAsia="Calibri" w:hAnsi="Cambria Math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N/mm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2</w:t>
            </w:r>
          </w:p>
        </w:tc>
      </w:tr>
      <w:tr w:rsidR="00BE4D92" w:rsidRPr="00BE4D92" w14:paraId="2892155D" w14:textId="77777777" w:rsidTr="001000A2">
        <w:trPr>
          <w:cantSplit/>
          <w:jc w:val="center"/>
        </w:trPr>
        <w:tc>
          <w:tcPr>
            <w:tcW w:w="2277" w:type="dxa"/>
            <w:tcBorders>
              <w:top w:val="single" w:sz="12" w:space="0" w:color="auto"/>
              <w:right w:val="nil"/>
            </w:tcBorders>
            <w:vAlign w:val="center"/>
          </w:tcPr>
          <w:p w14:paraId="5D03F61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b/>
                <w:sz w:val="22"/>
                <w:lang w:val="en-GB" w:eastAsia="en-US"/>
              </w:rPr>
              <w:t>EN 10149</w:t>
            </w:r>
            <w:r w:rsidRPr="00BE4D92">
              <w:rPr>
                <w:rFonts w:eastAsia="Calibri"/>
                <w:b/>
                <w:sz w:val="22"/>
                <w:lang w:val="en-GB" w:eastAsia="en-US"/>
              </w:rPr>
              <w:noBreakHyphen/>
              <w:t>2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a</w:t>
            </w:r>
          </w:p>
        </w:tc>
        <w:tc>
          <w:tcPr>
            <w:tcW w:w="18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04DB5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 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5FBCFF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 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E2708F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 </w:t>
            </w:r>
          </w:p>
        </w:tc>
        <w:tc>
          <w:tcPr>
            <w:tcW w:w="1869" w:type="dxa"/>
            <w:tcBorders>
              <w:top w:val="single" w:sz="12" w:space="0" w:color="auto"/>
              <w:left w:val="nil"/>
            </w:tcBorders>
            <w:vAlign w:val="center"/>
          </w:tcPr>
          <w:p w14:paraId="7A04E35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 </w:t>
            </w:r>
          </w:p>
        </w:tc>
      </w:tr>
      <w:tr w:rsidR="00BE4D92" w:rsidRPr="00BE4D92" w14:paraId="607EB1F3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074A506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S315MC</w:t>
            </w:r>
          </w:p>
        </w:tc>
        <w:tc>
          <w:tcPr>
            <w:tcW w:w="1868" w:type="dxa"/>
            <w:vAlign w:val="center"/>
          </w:tcPr>
          <w:p w14:paraId="48FB3B1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315</w:t>
            </w:r>
          </w:p>
        </w:tc>
        <w:tc>
          <w:tcPr>
            <w:tcW w:w="1869" w:type="dxa"/>
            <w:vAlign w:val="center"/>
          </w:tcPr>
          <w:p w14:paraId="69159EC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390</w:t>
            </w:r>
          </w:p>
        </w:tc>
        <w:tc>
          <w:tcPr>
            <w:tcW w:w="1869" w:type="dxa"/>
            <w:vAlign w:val="center"/>
          </w:tcPr>
          <w:p w14:paraId="7D78A9C1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315</w:t>
            </w:r>
          </w:p>
        </w:tc>
        <w:tc>
          <w:tcPr>
            <w:tcW w:w="1869" w:type="dxa"/>
            <w:vAlign w:val="center"/>
          </w:tcPr>
          <w:p w14:paraId="1915482D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390</w:t>
            </w:r>
          </w:p>
        </w:tc>
      </w:tr>
      <w:tr w:rsidR="00BE4D92" w:rsidRPr="00BE4D92" w14:paraId="57363F87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777D9BA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lastRenderedPageBreak/>
              <w:t>S355MC</w:t>
            </w:r>
          </w:p>
        </w:tc>
        <w:tc>
          <w:tcPr>
            <w:tcW w:w="1868" w:type="dxa"/>
            <w:vAlign w:val="center"/>
          </w:tcPr>
          <w:p w14:paraId="28CA4B56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355</w:t>
            </w:r>
          </w:p>
        </w:tc>
        <w:tc>
          <w:tcPr>
            <w:tcW w:w="1869" w:type="dxa"/>
            <w:vAlign w:val="center"/>
          </w:tcPr>
          <w:p w14:paraId="73B8F616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430</w:t>
            </w:r>
          </w:p>
        </w:tc>
        <w:tc>
          <w:tcPr>
            <w:tcW w:w="1869" w:type="dxa"/>
            <w:vAlign w:val="center"/>
          </w:tcPr>
          <w:p w14:paraId="19C58DA6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355</w:t>
            </w:r>
          </w:p>
        </w:tc>
        <w:tc>
          <w:tcPr>
            <w:tcW w:w="1869" w:type="dxa"/>
            <w:vAlign w:val="center"/>
          </w:tcPr>
          <w:p w14:paraId="4AD7E342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430</w:t>
            </w:r>
          </w:p>
        </w:tc>
      </w:tr>
      <w:tr w:rsidR="00BE4D92" w:rsidRPr="00BE4D92" w14:paraId="783456D1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5730151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S420MC</w:t>
            </w:r>
          </w:p>
        </w:tc>
        <w:tc>
          <w:tcPr>
            <w:tcW w:w="1868" w:type="dxa"/>
            <w:vAlign w:val="center"/>
          </w:tcPr>
          <w:p w14:paraId="6AA67856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420</w:t>
            </w:r>
          </w:p>
        </w:tc>
        <w:tc>
          <w:tcPr>
            <w:tcW w:w="1869" w:type="dxa"/>
            <w:vAlign w:val="center"/>
          </w:tcPr>
          <w:p w14:paraId="0F6358A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480</w:t>
            </w:r>
          </w:p>
        </w:tc>
        <w:tc>
          <w:tcPr>
            <w:tcW w:w="1869" w:type="dxa"/>
            <w:vAlign w:val="center"/>
          </w:tcPr>
          <w:p w14:paraId="714DD217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420</w:t>
            </w:r>
          </w:p>
        </w:tc>
        <w:tc>
          <w:tcPr>
            <w:tcW w:w="1869" w:type="dxa"/>
            <w:vAlign w:val="center"/>
          </w:tcPr>
          <w:p w14:paraId="5181B61D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480</w:t>
            </w:r>
          </w:p>
        </w:tc>
      </w:tr>
      <w:tr w:rsidR="00BE4D92" w:rsidRPr="00BE4D92" w14:paraId="05156EE8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0AF3796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S460MC</w:t>
            </w:r>
          </w:p>
        </w:tc>
        <w:tc>
          <w:tcPr>
            <w:tcW w:w="1868" w:type="dxa"/>
            <w:vAlign w:val="center"/>
          </w:tcPr>
          <w:p w14:paraId="39861AD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460</w:t>
            </w:r>
          </w:p>
        </w:tc>
        <w:tc>
          <w:tcPr>
            <w:tcW w:w="1869" w:type="dxa"/>
            <w:vAlign w:val="center"/>
          </w:tcPr>
          <w:p w14:paraId="68C0BEE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520</w:t>
            </w:r>
          </w:p>
        </w:tc>
        <w:tc>
          <w:tcPr>
            <w:tcW w:w="1869" w:type="dxa"/>
            <w:vAlign w:val="center"/>
          </w:tcPr>
          <w:p w14:paraId="4568E6CE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460</w:t>
            </w:r>
          </w:p>
        </w:tc>
        <w:tc>
          <w:tcPr>
            <w:tcW w:w="1869" w:type="dxa"/>
            <w:vAlign w:val="center"/>
          </w:tcPr>
          <w:p w14:paraId="646B57D5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520</w:t>
            </w:r>
          </w:p>
        </w:tc>
      </w:tr>
      <w:tr w:rsidR="00BE4D92" w:rsidRPr="00BE4D92" w14:paraId="62120BFC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224C7CAB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S500MC</w:t>
            </w:r>
          </w:p>
        </w:tc>
        <w:tc>
          <w:tcPr>
            <w:tcW w:w="1868" w:type="dxa"/>
            <w:vAlign w:val="center"/>
          </w:tcPr>
          <w:p w14:paraId="6B578369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500</w:t>
            </w:r>
          </w:p>
        </w:tc>
        <w:tc>
          <w:tcPr>
            <w:tcW w:w="1869" w:type="dxa"/>
            <w:vAlign w:val="center"/>
          </w:tcPr>
          <w:p w14:paraId="1759447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550</w:t>
            </w:r>
          </w:p>
        </w:tc>
        <w:tc>
          <w:tcPr>
            <w:tcW w:w="1869" w:type="dxa"/>
            <w:vAlign w:val="center"/>
          </w:tcPr>
          <w:p w14:paraId="56A348BD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500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  <w:tc>
          <w:tcPr>
            <w:tcW w:w="1869" w:type="dxa"/>
            <w:vAlign w:val="center"/>
          </w:tcPr>
          <w:p w14:paraId="512A6283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550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</w:tr>
      <w:tr w:rsidR="00BE4D92" w:rsidRPr="00BE4D92" w14:paraId="26EFEC87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6962BEE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S550MC</w:t>
            </w:r>
          </w:p>
        </w:tc>
        <w:tc>
          <w:tcPr>
            <w:tcW w:w="1868" w:type="dxa"/>
            <w:vAlign w:val="center"/>
          </w:tcPr>
          <w:p w14:paraId="0C437805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550</w:t>
            </w:r>
          </w:p>
        </w:tc>
        <w:tc>
          <w:tcPr>
            <w:tcW w:w="1869" w:type="dxa"/>
            <w:vAlign w:val="center"/>
          </w:tcPr>
          <w:p w14:paraId="13601D3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</w:p>
        </w:tc>
        <w:tc>
          <w:tcPr>
            <w:tcW w:w="1869" w:type="dxa"/>
            <w:vAlign w:val="center"/>
          </w:tcPr>
          <w:p w14:paraId="694D0F02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550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  <w:tc>
          <w:tcPr>
            <w:tcW w:w="1869" w:type="dxa"/>
            <w:vAlign w:val="center"/>
          </w:tcPr>
          <w:p w14:paraId="4C45A5A1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</w:tr>
      <w:tr w:rsidR="00BE4D92" w:rsidRPr="00BE4D92" w14:paraId="4C6545EB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5D51C51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S600MC</w:t>
            </w:r>
          </w:p>
        </w:tc>
        <w:tc>
          <w:tcPr>
            <w:tcW w:w="1868" w:type="dxa"/>
            <w:vAlign w:val="center"/>
          </w:tcPr>
          <w:p w14:paraId="2503F41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</w:p>
        </w:tc>
        <w:tc>
          <w:tcPr>
            <w:tcW w:w="1869" w:type="dxa"/>
            <w:vAlign w:val="center"/>
          </w:tcPr>
          <w:p w14:paraId="23B7777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650</w:t>
            </w:r>
          </w:p>
        </w:tc>
        <w:tc>
          <w:tcPr>
            <w:tcW w:w="1869" w:type="dxa"/>
            <w:vAlign w:val="center"/>
          </w:tcPr>
          <w:p w14:paraId="506FB02E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600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  <w:tc>
          <w:tcPr>
            <w:tcW w:w="1869" w:type="dxa"/>
            <w:vAlign w:val="center"/>
          </w:tcPr>
          <w:p w14:paraId="67C6B045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650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</w:tr>
      <w:tr w:rsidR="00BE4D92" w:rsidRPr="00BE4D92" w14:paraId="47028B34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6438361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S650MC</w:t>
            </w:r>
          </w:p>
        </w:tc>
        <w:tc>
          <w:tcPr>
            <w:tcW w:w="1868" w:type="dxa"/>
            <w:vAlign w:val="center"/>
          </w:tcPr>
          <w:p w14:paraId="5B7F010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650</w:t>
            </w:r>
          </w:p>
        </w:tc>
        <w:tc>
          <w:tcPr>
            <w:tcW w:w="1869" w:type="dxa"/>
            <w:vAlign w:val="center"/>
          </w:tcPr>
          <w:p w14:paraId="3256E44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700</w:t>
            </w:r>
          </w:p>
        </w:tc>
        <w:tc>
          <w:tcPr>
            <w:tcW w:w="1869" w:type="dxa"/>
            <w:vAlign w:val="center"/>
          </w:tcPr>
          <w:p w14:paraId="4A811C63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630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  <w:tc>
          <w:tcPr>
            <w:tcW w:w="1869" w:type="dxa"/>
            <w:vAlign w:val="center"/>
          </w:tcPr>
          <w:p w14:paraId="562AE791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700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</w:tr>
      <w:tr w:rsidR="00BE4D92" w:rsidRPr="00BE4D92" w14:paraId="12E8B41B" w14:textId="77777777" w:rsidTr="001000A2">
        <w:trPr>
          <w:cantSplit/>
          <w:jc w:val="center"/>
        </w:trPr>
        <w:tc>
          <w:tcPr>
            <w:tcW w:w="2277" w:type="dxa"/>
            <w:tcBorders>
              <w:bottom w:val="single" w:sz="12" w:space="0" w:color="auto"/>
            </w:tcBorders>
            <w:vAlign w:val="center"/>
          </w:tcPr>
          <w:p w14:paraId="47A3287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S700MC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5953A675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700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7925B8CF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750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372FC307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680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3E59B7B0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750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b</w:t>
            </w:r>
          </w:p>
        </w:tc>
      </w:tr>
      <w:tr w:rsidR="00BE4D92" w:rsidRPr="00BE4D92" w14:paraId="43169E4A" w14:textId="77777777" w:rsidTr="001000A2">
        <w:trPr>
          <w:cantSplit/>
          <w:jc w:val="center"/>
        </w:trPr>
        <w:tc>
          <w:tcPr>
            <w:tcW w:w="2277" w:type="dxa"/>
            <w:tcBorders>
              <w:top w:val="single" w:sz="12" w:space="0" w:color="auto"/>
              <w:right w:val="nil"/>
            </w:tcBorders>
            <w:vAlign w:val="center"/>
          </w:tcPr>
          <w:p w14:paraId="0452292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b/>
                <w:sz w:val="22"/>
                <w:lang w:val="en-GB" w:eastAsia="en-US"/>
              </w:rPr>
              <w:t>EN 10149</w:t>
            </w:r>
            <w:r w:rsidRPr="00BE4D92">
              <w:rPr>
                <w:rFonts w:eastAsia="Calibri"/>
                <w:b/>
                <w:sz w:val="22"/>
                <w:lang w:val="en-GB" w:eastAsia="en-US"/>
              </w:rPr>
              <w:noBreakHyphen/>
              <w:t>3</w:t>
            </w:r>
            <w:r w:rsidRPr="00BE4D92">
              <w:rPr>
                <w:rFonts w:eastAsia="Calibri"/>
                <w:position w:val="6"/>
                <w:sz w:val="18"/>
                <w:lang w:val="en-GB" w:eastAsia="en-US"/>
              </w:rPr>
              <w:t>a</w:t>
            </w:r>
          </w:p>
        </w:tc>
        <w:tc>
          <w:tcPr>
            <w:tcW w:w="186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F00AF1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4A69AA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C463D8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nil"/>
            </w:tcBorders>
            <w:vAlign w:val="center"/>
          </w:tcPr>
          <w:p w14:paraId="1E371B14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</w:p>
        </w:tc>
      </w:tr>
      <w:tr w:rsidR="00BE4D92" w:rsidRPr="00BE4D92" w14:paraId="00080EA7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55C3566C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S260NC</w:t>
            </w:r>
          </w:p>
        </w:tc>
        <w:tc>
          <w:tcPr>
            <w:tcW w:w="1868" w:type="dxa"/>
            <w:vAlign w:val="center"/>
          </w:tcPr>
          <w:p w14:paraId="41D74965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260</w:t>
            </w:r>
          </w:p>
        </w:tc>
        <w:tc>
          <w:tcPr>
            <w:tcW w:w="1869" w:type="dxa"/>
            <w:vAlign w:val="center"/>
          </w:tcPr>
          <w:p w14:paraId="7B279190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370</w:t>
            </w:r>
          </w:p>
        </w:tc>
        <w:tc>
          <w:tcPr>
            <w:tcW w:w="1869" w:type="dxa"/>
            <w:vAlign w:val="center"/>
          </w:tcPr>
          <w:p w14:paraId="38083467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260</w:t>
            </w:r>
          </w:p>
        </w:tc>
        <w:tc>
          <w:tcPr>
            <w:tcW w:w="1869" w:type="dxa"/>
            <w:vAlign w:val="center"/>
          </w:tcPr>
          <w:p w14:paraId="2DCF2D42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370</w:t>
            </w:r>
          </w:p>
        </w:tc>
      </w:tr>
      <w:tr w:rsidR="00BE4D92" w:rsidRPr="00BE4D92" w14:paraId="046DB09E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5026CFB2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S315NC</w:t>
            </w:r>
          </w:p>
        </w:tc>
        <w:tc>
          <w:tcPr>
            <w:tcW w:w="1868" w:type="dxa"/>
            <w:vAlign w:val="center"/>
          </w:tcPr>
          <w:p w14:paraId="7BFAADE3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315</w:t>
            </w:r>
          </w:p>
        </w:tc>
        <w:tc>
          <w:tcPr>
            <w:tcW w:w="1869" w:type="dxa"/>
            <w:vAlign w:val="center"/>
          </w:tcPr>
          <w:p w14:paraId="5AEDDD37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430</w:t>
            </w:r>
          </w:p>
        </w:tc>
        <w:tc>
          <w:tcPr>
            <w:tcW w:w="1869" w:type="dxa"/>
            <w:vAlign w:val="center"/>
          </w:tcPr>
          <w:p w14:paraId="724C7BA4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315</w:t>
            </w:r>
          </w:p>
        </w:tc>
        <w:tc>
          <w:tcPr>
            <w:tcW w:w="1869" w:type="dxa"/>
            <w:vAlign w:val="center"/>
          </w:tcPr>
          <w:p w14:paraId="7B303BA9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430</w:t>
            </w:r>
          </w:p>
        </w:tc>
      </w:tr>
      <w:tr w:rsidR="00BE4D92" w:rsidRPr="00BE4D92" w14:paraId="39AF176E" w14:textId="77777777" w:rsidTr="001000A2">
        <w:trPr>
          <w:cantSplit/>
          <w:jc w:val="center"/>
        </w:trPr>
        <w:tc>
          <w:tcPr>
            <w:tcW w:w="2277" w:type="dxa"/>
            <w:vAlign w:val="center"/>
          </w:tcPr>
          <w:p w14:paraId="7F1D585D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S355NC</w:t>
            </w:r>
          </w:p>
        </w:tc>
        <w:tc>
          <w:tcPr>
            <w:tcW w:w="1868" w:type="dxa"/>
            <w:vAlign w:val="center"/>
          </w:tcPr>
          <w:p w14:paraId="23D3E61E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355</w:t>
            </w:r>
          </w:p>
        </w:tc>
        <w:tc>
          <w:tcPr>
            <w:tcW w:w="1869" w:type="dxa"/>
            <w:vAlign w:val="center"/>
          </w:tcPr>
          <w:p w14:paraId="132FC9F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470</w:t>
            </w:r>
          </w:p>
        </w:tc>
        <w:tc>
          <w:tcPr>
            <w:tcW w:w="1869" w:type="dxa"/>
            <w:vAlign w:val="center"/>
          </w:tcPr>
          <w:p w14:paraId="2B63E3FF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355</w:t>
            </w:r>
          </w:p>
        </w:tc>
        <w:tc>
          <w:tcPr>
            <w:tcW w:w="1869" w:type="dxa"/>
            <w:vAlign w:val="center"/>
          </w:tcPr>
          <w:p w14:paraId="322E6A41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470</w:t>
            </w:r>
          </w:p>
        </w:tc>
      </w:tr>
      <w:tr w:rsidR="00BE4D92" w:rsidRPr="00BE4D92" w14:paraId="40AE8067" w14:textId="77777777" w:rsidTr="001000A2">
        <w:trPr>
          <w:cantSplit/>
          <w:jc w:val="center"/>
        </w:trPr>
        <w:tc>
          <w:tcPr>
            <w:tcW w:w="2277" w:type="dxa"/>
            <w:tcBorders>
              <w:bottom w:val="single" w:sz="12" w:space="0" w:color="auto"/>
            </w:tcBorders>
            <w:vAlign w:val="center"/>
          </w:tcPr>
          <w:p w14:paraId="0D22AC4F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S420NC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063901E8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420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540AE564" w14:textId="77777777" w:rsidR="00BE4D92" w:rsidRPr="00BE4D92" w:rsidRDefault="00BE4D92" w:rsidP="00BE4D92">
            <w:pPr>
              <w:autoSpaceDE w:val="0"/>
              <w:autoSpaceDN w:val="0"/>
              <w:adjustRightInd w:val="0"/>
              <w:spacing w:before="60" w:after="60" w:line="210" w:lineRule="atLeast"/>
              <w:jc w:val="center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530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410F0B70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420</w:t>
            </w:r>
          </w:p>
        </w:tc>
        <w:tc>
          <w:tcPr>
            <w:tcW w:w="1869" w:type="dxa"/>
            <w:tcBorders>
              <w:bottom w:val="single" w:sz="12" w:space="0" w:color="auto"/>
            </w:tcBorders>
            <w:vAlign w:val="center"/>
          </w:tcPr>
          <w:p w14:paraId="7936A6EB" w14:textId="77777777" w:rsidR="00BE4D92" w:rsidRPr="00BE4D92" w:rsidRDefault="00BE4D92" w:rsidP="00BE4D92">
            <w:pPr>
              <w:tabs>
                <w:tab w:val="decimal" w:pos="1026"/>
              </w:tabs>
              <w:autoSpaceDE w:val="0"/>
              <w:autoSpaceDN w:val="0"/>
              <w:adjustRightInd w:val="0"/>
              <w:spacing w:before="60" w:after="60" w:line="210" w:lineRule="atLeast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E4D92">
              <w:rPr>
                <w:rFonts w:eastAsia="Calibri"/>
                <w:sz w:val="22"/>
                <w:lang w:val="en-GB" w:eastAsia="en-US"/>
              </w:rPr>
              <w:t>530</w:t>
            </w:r>
          </w:p>
        </w:tc>
      </w:tr>
      <w:tr w:rsidR="00BE4D92" w:rsidRPr="00BE4D92" w14:paraId="6714E543" w14:textId="77777777" w:rsidTr="001000A2">
        <w:trPr>
          <w:cantSplit/>
          <w:trHeight w:val="1025"/>
          <w:jc w:val="center"/>
        </w:trPr>
        <w:tc>
          <w:tcPr>
            <w:tcW w:w="975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80D327" w14:textId="77777777" w:rsidR="00BE4D92" w:rsidRPr="00BE4D92" w:rsidRDefault="00BE4D92" w:rsidP="00BE4D92">
            <w:pPr>
              <w:tabs>
                <w:tab w:val="left" w:pos="346"/>
              </w:tabs>
              <w:autoSpaceDE w:val="0"/>
              <w:autoSpaceDN w:val="0"/>
              <w:adjustRightInd w:val="0"/>
              <w:spacing w:before="60" w:after="60" w:line="200" w:lineRule="atLeast"/>
              <w:rPr>
                <w:rFonts w:eastAsia="Calibri"/>
                <w:sz w:val="20"/>
                <w:lang w:val="en-GB" w:eastAsia="en-US"/>
              </w:rPr>
            </w:pPr>
            <w:r w:rsidRPr="00BE4D92">
              <w:rPr>
                <w:rFonts w:eastAsia="Calibri"/>
                <w:position w:val="6"/>
                <w:sz w:val="16"/>
                <w:lang w:val="en-GB" w:eastAsia="en-US"/>
              </w:rPr>
              <w:t>a</w:t>
            </w:r>
            <w:r w:rsidRPr="00BE4D92">
              <w:rPr>
                <w:rFonts w:eastAsia="Calibri"/>
                <w:sz w:val="20"/>
                <w:lang w:val="en-GB" w:eastAsia="en-US"/>
              </w:rPr>
              <w:tab/>
              <w:t>Verification of the impact energy in accordance with EN 10149</w:t>
            </w:r>
            <w:r w:rsidRPr="00BE4D92">
              <w:rPr>
                <w:rFonts w:eastAsia="Calibri"/>
                <w:sz w:val="20"/>
                <w:lang w:val="en-GB" w:eastAsia="en-US"/>
              </w:rPr>
              <w:noBreakHyphen/>
              <w:t>1:2013, Clause 11, option 5 should be specified.</w:t>
            </w:r>
          </w:p>
          <w:p w14:paraId="46312994" w14:textId="77777777" w:rsidR="00BE4D92" w:rsidRPr="00BE4D92" w:rsidRDefault="00BE4D92" w:rsidP="00BE4D92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60" w:after="60" w:line="200" w:lineRule="atLeast"/>
              <w:rPr>
                <w:rFonts w:eastAsia="Calibri"/>
                <w:sz w:val="20"/>
                <w:szCs w:val="22"/>
                <w:lang w:val="en-GB" w:eastAsia="en-US"/>
              </w:rPr>
            </w:pPr>
            <w:r w:rsidRPr="00BE4D92">
              <w:rPr>
                <w:rFonts w:eastAsia="Calibri"/>
                <w:position w:val="6"/>
                <w:sz w:val="16"/>
                <w:lang w:val="en-GB" w:eastAsia="en-US"/>
              </w:rPr>
              <w:t>b</w:t>
            </w:r>
            <w:r w:rsidRPr="00BE4D92">
              <w:rPr>
                <w:rFonts w:eastAsia="Calibri"/>
                <w:sz w:val="20"/>
                <w:lang w:val="en-GB" w:eastAsia="en-US"/>
              </w:rPr>
              <w:tab/>
            </w:r>
            <w:r w:rsidRPr="00BE4D92">
              <w:rPr>
                <w:rFonts w:eastAsia="Calibri"/>
                <w:i/>
                <w:sz w:val="20"/>
                <w:lang w:val="en-GB" w:eastAsia="en-US"/>
              </w:rPr>
              <w:t>t</w:t>
            </w:r>
            <w:r w:rsidRPr="00BE4D92">
              <w:rPr>
                <w:rFonts w:eastAsia="Calibri"/>
                <w:sz w:val="20"/>
                <w:lang w:val="en-GB" w:eastAsia="en-US"/>
              </w:rPr>
              <w:t> ≤ 16 mm</w:t>
            </w:r>
          </w:p>
        </w:tc>
      </w:tr>
      <w:bookmarkEnd w:id="8"/>
    </w:tbl>
    <w:p w14:paraId="00F5C44E" w14:textId="77777777" w:rsidR="005A7E35" w:rsidRDefault="005A7E35" w:rsidP="00CD3682">
      <w:pPr>
        <w:pStyle w:val="BodyText"/>
        <w:rPr>
          <w:lang w:val="en-GB"/>
        </w:rPr>
      </w:pPr>
    </w:p>
    <w:p w14:paraId="57CB793F" w14:textId="4DBD4507" w:rsidR="00736CBC" w:rsidRDefault="00CE2AAD" w:rsidP="00E67F70">
      <w:pPr>
        <w:pStyle w:val="Heading2"/>
      </w:pPr>
      <w:r w:rsidRPr="00D47B56">
        <w:t xml:space="preserve">Clause </w:t>
      </w:r>
      <w:r w:rsidR="00736CBC" w:rsidRPr="00D47B56">
        <w:t>5</w:t>
      </w:r>
      <w:r w:rsidRPr="00D47B56">
        <w:t>.</w:t>
      </w:r>
      <w:r w:rsidR="00736CBC" w:rsidRPr="00D47B56">
        <w:t>2</w:t>
      </w:r>
      <w:r w:rsidRPr="00D47B56">
        <w:t>.</w:t>
      </w:r>
      <w:r w:rsidR="0040743C">
        <w:t>2</w:t>
      </w:r>
      <w:r w:rsidR="00D67D90" w:rsidRPr="00D47B56">
        <w:t xml:space="preserve"> </w:t>
      </w:r>
      <w:r w:rsidRPr="00D47B56">
        <w:t>(1)</w:t>
      </w:r>
      <w:r w:rsidR="00674066" w:rsidRPr="00D77796">
        <w:t xml:space="preserve"> </w:t>
      </w:r>
      <w:r w:rsidR="0040743C">
        <w:t>Ductility requirements</w:t>
      </w:r>
    </w:p>
    <w:p w14:paraId="01F4E824" w14:textId="1E549DFF" w:rsidR="0040743C" w:rsidRPr="0040743C" w:rsidRDefault="0040743C" w:rsidP="00CD3682">
      <w:pPr>
        <w:pStyle w:val="BodyText"/>
      </w:pPr>
      <w:r w:rsidRPr="0040743C">
        <w:t xml:space="preserve">The limiting values are </w:t>
      </w:r>
      <w:r>
        <w:t>the following</w:t>
      </w:r>
      <w:r w:rsidRPr="0040743C">
        <w:t>:</w:t>
      </w:r>
    </w:p>
    <w:p w14:paraId="2B7A667A" w14:textId="77777777" w:rsidR="0040743C" w:rsidRPr="0040743C" w:rsidRDefault="0040743C" w:rsidP="00075E2F">
      <w:pPr>
        <w:pStyle w:val="ListNumber"/>
        <w:rPr>
          <w:lang w:val="en-GB"/>
        </w:rPr>
      </w:pPr>
      <w:r w:rsidRPr="0040743C">
        <w:rPr>
          <w:lang w:val="en-GB"/>
        </w:rPr>
        <w:t>a)</w:t>
      </w:r>
      <w:r w:rsidRPr="0040743C">
        <w:rPr>
          <w:lang w:val="en-GB"/>
        </w:rPr>
        <w:tab/>
        <w:t>For plastic global analysis</w:t>
      </w:r>
    </w:p>
    <w:p w14:paraId="11BA0F0C" w14:textId="72EAB3B6" w:rsidR="0040743C" w:rsidRPr="0040743C" w:rsidRDefault="0040743C" w:rsidP="0040743C">
      <w:pPr>
        <w:pStyle w:val="ListContinue2-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40743C">
        <w:rPr>
          <w:rFonts w:ascii="Times New Roman" w:hAnsi="Times New Roman"/>
          <w:sz w:val="24"/>
          <w:szCs w:val="24"/>
          <w:lang w:val="en-GB"/>
        </w:rPr>
        <w:t>—</w:t>
      </w:r>
      <w:r w:rsidRPr="0040743C">
        <w:rPr>
          <w:rFonts w:ascii="Times New Roman" w:hAnsi="Times New Roman"/>
          <w:sz w:val="24"/>
          <w:szCs w:val="24"/>
          <w:lang w:val="en-GB"/>
        </w:rPr>
        <w:tab/>
      </w:r>
      <w:r w:rsidRPr="0040743C">
        <w:rPr>
          <w:rFonts w:ascii="Times New Roman" w:hAnsi="Times New Roman"/>
          <w:position w:val="-16"/>
          <w:sz w:val="24"/>
          <w:szCs w:val="24"/>
        </w:rPr>
        <w:object w:dxaOrig="1340" w:dyaOrig="400" w14:anchorId="543A34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9.5pt" o:ole="">
            <v:imagedata r:id="rId11" o:title=""/>
          </v:shape>
          <o:OLEObject Type="Embed" ProgID="Equation.DSMT4" ShapeID="_x0000_i1025" DrawAspect="Content" ObjectID="_1836627550" r:id="rId12"/>
        </w:object>
      </w:r>
    </w:p>
    <w:p w14:paraId="29DFF6BC" w14:textId="77777777" w:rsidR="0040743C" w:rsidRPr="00D51E5A" w:rsidRDefault="0040743C" w:rsidP="0040743C">
      <w:pPr>
        <w:pStyle w:val="ListContinue2-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40743C">
        <w:rPr>
          <w:rFonts w:ascii="Times New Roman" w:hAnsi="Times New Roman"/>
          <w:sz w:val="24"/>
          <w:szCs w:val="24"/>
          <w:lang w:val="en-GB"/>
        </w:rPr>
        <w:t>—</w:t>
      </w:r>
      <w:r w:rsidRPr="0040743C">
        <w:rPr>
          <w:rFonts w:ascii="Times New Roman" w:hAnsi="Times New Roman"/>
          <w:sz w:val="24"/>
          <w:szCs w:val="24"/>
          <w:lang w:val="en-GB"/>
        </w:rPr>
        <w:tab/>
        <w:t>elongation at failure not less than 15 %.</w:t>
      </w:r>
    </w:p>
    <w:p w14:paraId="100946B1" w14:textId="77777777" w:rsidR="0040743C" w:rsidRPr="0040743C" w:rsidRDefault="0040743C" w:rsidP="00075E2F">
      <w:pPr>
        <w:pStyle w:val="ListNumber"/>
        <w:rPr>
          <w:lang w:val="en-GB"/>
        </w:rPr>
      </w:pPr>
      <w:r w:rsidRPr="0040743C">
        <w:rPr>
          <w:lang w:val="en-GB"/>
        </w:rPr>
        <w:t>b)</w:t>
      </w:r>
      <w:r w:rsidRPr="0040743C">
        <w:rPr>
          <w:lang w:val="en-GB"/>
        </w:rPr>
        <w:tab/>
        <w:t>For elastic global analysis</w:t>
      </w:r>
    </w:p>
    <w:p w14:paraId="4EE9B736" w14:textId="30FD39EA" w:rsidR="0040743C" w:rsidRPr="0040743C" w:rsidRDefault="0040743C" w:rsidP="0040743C">
      <w:pPr>
        <w:pStyle w:val="ListContinue2-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40743C">
        <w:rPr>
          <w:rFonts w:ascii="Times New Roman" w:hAnsi="Times New Roman"/>
          <w:sz w:val="24"/>
          <w:szCs w:val="24"/>
          <w:lang w:val="en-GB"/>
        </w:rPr>
        <w:t>—</w:t>
      </w:r>
      <w:r w:rsidRPr="0040743C">
        <w:rPr>
          <w:rFonts w:ascii="Times New Roman" w:hAnsi="Times New Roman"/>
          <w:sz w:val="24"/>
          <w:szCs w:val="24"/>
          <w:lang w:val="en-GB"/>
        </w:rPr>
        <w:tab/>
      </w:r>
      <w:r w:rsidRPr="0040743C">
        <w:rPr>
          <w:rFonts w:ascii="Times New Roman" w:hAnsi="Times New Roman"/>
          <w:position w:val="-16"/>
          <w:sz w:val="24"/>
          <w:szCs w:val="24"/>
        </w:rPr>
        <w:object w:dxaOrig="1340" w:dyaOrig="400" w14:anchorId="58063A3C">
          <v:shape id="_x0000_i1026" type="#_x0000_t75" style="width:67.5pt;height:19.5pt" o:ole="">
            <v:imagedata r:id="rId13" o:title=""/>
          </v:shape>
          <o:OLEObject Type="Embed" ProgID="Equation.DSMT4" ShapeID="_x0000_i1026" DrawAspect="Content" ObjectID="_1836627551" r:id="rId14"/>
        </w:object>
      </w:r>
    </w:p>
    <w:p w14:paraId="538BB76E" w14:textId="07759E58" w:rsidR="00736CBC" w:rsidRPr="0040743C" w:rsidRDefault="0040743C" w:rsidP="0040743C">
      <w:pPr>
        <w:pStyle w:val="ListContinue2-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GB"/>
        </w:rPr>
      </w:pPr>
      <w:r w:rsidRPr="0040743C">
        <w:rPr>
          <w:rFonts w:ascii="Times New Roman" w:hAnsi="Times New Roman"/>
          <w:sz w:val="24"/>
          <w:szCs w:val="24"/>
          <w:lang w:val="en-GB"/>
        </w:rPr>
        <w:t>—</w:t>
      </w:r>
      <w:r w:rsidRPr="0040743C">
        <w:rPr>
          <w:rFonts w:ascii="Times New Roman" w:hAnsi="Times New Roman"/>
          <w:sz w:val="24"/>
          <w:szCs w:val="24"/>
          <w:lang w:val="en-GB"/>
        </w:rPr>
        <w:tab/>
        <w:t>elongation at failure not less than 12 %.</w:t>
      </w:r>
    </w:p>
    <w:p w14:paraId="634B6FAE" w14:textId="7A2B6ADC" w:rsidR="0086031B" w:rsidRPr="0086031B" w:rsidRDefault="00460330" w:rsidP="00E67F70">
      <w:pPr>
        <w:pStyle w:val="Heading2"/>
      </w:pPr>
      <w:r w:rsidRPr="00D47B56">
        <w:t xml:space="preserve">Clause </w:t>
      </w:r>
      <w:r w:rsidR="0040743C">
        <w:t>7</w:t>
      </w:r>
      <w:r w:rsidRPr="00D47B56">
        <w:t>.</w:t>
      </w:r>
      <w:r w:rsidR="0040743C">
        <w:t>2.1</w:t>
      </w:r>
      <w:r w:rsidRPr="00D47B56">
        <w:t xml:space="preserve"> (</w:t>
      </w:r>
      <w:r w:rsidR="0040743C">
        <w:t>4</w:t>
      </w:r>
      <w:r w:rsidRPr="00D47B56">
        <w:t xml:space="preserve">) </w:t>
      </w:r>
      <w:bookmarkStart w:id="9" w:name="_Toc94186858"/>
      <w:r w:rsidR="0040743C" w:rsidRPr="0040743C">
        <w:t>Consideration of second order effects</w:t>
      </w:r>
      <w:bookmarkEnd w:id="9"/>
    </w:p>
    <w:p w14:paraId="50E5C215" w14:textId="1764BF99" w:rsidR="00460330" w:rsidRPr="00D77796" w:rsidRDefault="0040743C" w:rsidP="00762ABE">
      <w:pPr>
        <w:pStyle w:val="BodyText"/>
      </w:pPr>
      <w:r w:rsidRPr="0040743C">
        <w:t xml:space="preserve">The value of </w:t>
      </w:r>
      <w:r w:rsidRPr="00CD3682">
        <w:rPr>
          <w:i/>
          <w:iCs/>
        </w:rPr>
        <w:t>k</w:t>
      </w:r>
      <w:r w:rsidRPr="00CD3682">
        <w:rPr>
          <w:vertAlign w:val="subscript"/>
        </w:rPr>
        <w:t>0</w:t>
      </w:r>
      <w:r w:rsidRPr="0040743C">
        <w:t xml:space="preserve"> is 25</w:t>
      </w:r>
      <w:r w:rsidR="005B52D0">
        <w:t>.</w:t>
      </w:r>
    </w:p>
    <w:p w14:paraId="452196B1" w14:textId="409E935A" w:rsidR="005F436A" w:rsidRPr="00E67F70" w:rsidRDefault="00C60157" w:rsidP="00CD3682">
      <w:pPr>
        <w:pStyle w:val="Heading2"/>
      </w:pPr>
      <w:r w:rsidRPr="00D47B56">
        <w:lastRenderedPageBreak/>
        <w:t xml:space="preserve">Clause </w:t>
      </w:r>
      <w:r w:rsidR="0040743C">
        <w:t>7</w:t>
      </w:r>
      <w:r w:rsidRPr="00D47B56">
        <w:t>.2</w:t>
      </w:r>
      <w:r w:rsidR="0040743C">
        <w:t>.2</w:t>
      </w:r>
      <w:r w:rsidRPr="00D47B56">
        <w:t xml:space="preserve"> (</w:t>
      </w:r>
      <w:r w:rsidR="0040743C">
        <w:t>9</w:t>
      </w:r>
      <w:r w:rsidRPr="00D47B56">
        <w:t xml:space="preserve">) </w:t>
      </w:r>
      <w:bookmarkStart w:id="10" w:name="_Toc94186859"/>
      <w:r w:rsidR="005F436A" w:rsidRPr="005F436A">
        <w:t xml:space="preserve">Methods of analysis for ultimate limit state design </w:t>
      </w:r>
      <w:bookmarkEnd w:id="10"/>
      <w:r w:rsidR="005F436A" w:rsidRPr="00E67F70">
        <w:t>checks</w:t>
      </w:r>
    </w:p>
    <w:p w14:paraId="524D3156" w14:textId="2A74750D" w:rsidR="00C60157" w:rsidRPr="00D77796" w:rsidRDefault="00C60157" w:rsidP="00C60157">
      <w:pPr>
        <w:pStyle w:val="BodyText"/>
        <w:rPr>
          <w:spacing w:val="-2"/>
        </w:rPr>
      </w:pPr>
      <w:r w:rsidRPr="00D77796">
        <w:rPr>
          <w:spacing w:val="-2"/>
        </w:rPr>
        <w:t>No</w:t>
      </w:r>
      <w:r w:rsidR="0040743C" w:rsidRPr="0040743C">
        <w:t xml:space="preserve"> </w:t>
      </w:r>
      <w:r w:rsidR="0040743C">
        <w:rPr>
          <w:spacing w:val="-2"/>
        </w:rPr>
        <w:t>l</w:t>
      </w:r>
      <w:r w:rsidR="0040743C" w:rsidRPr="0040743C">
        <w:rPr>
          <w:spacing w:val="-2"/>
        </w:rPr>
        <w:t>imitations on the use of Method EM</w:t>
      </w:r>
      <w:r w:rsidRPr="00D77796">
        <w:rPr>
          <w:spacing w:val="-2"/>
        </w:rPr>
        <w:t xml:space="preserve"> </w:t>
      </w:r>
      <w:r w:rsidR="0040743C">
        <w:rPr>
          <w:spacing w:val="-2"/>
        </w:rPr>
        <w:t>are given.</w:t>
      </w:r>
    </w:p>
    <w:p w14:paraId="4EF513E0" w14:textId="47CF6AB6" w:rsidR="00C60157" w:rsidRPr="008F174E" w:rsidRDefault="00C60157" w:rsidP="00E67F70">
      <w:pPr>
        <w:pStyle w:val="Heading2"/>
      </w:pPr>
      <w:r w:rsidRPr="00D47B56">
        <w:t xml:space="preserve">Clause </w:t>
      </w:r>
      <w:bookmarkStart w:id="11" w:name="_Hlk199540981"/>
      <w:r w:rsidR="008F174E" w:rsidRPr="008F174E">
        <w:t>7.3.3.1 (1)</w:t>
      </w:r>
      <w:r w:rsidRPr="00D47B56">
        <w:t xml:space="preserve"> </w:t>
      </w:r>
      <w:bookmarkEnd w:id="11"/>
      <w:r w:rsidR="008F174E" w:rsidRPr="008F174E">
        <w:t>Flexural buckling</w:t>
      </w:r>
    </w:p>
    <w:p w14:paraId="777FDDC3" w14:textId="56121E60" w:rsidR="007C1942" w:rsidRPr="007C1942" w:rsidRDefault="007C1942" w:rsidP="00762ABE">
      <w:pPr>
        <w:pStyle w:val="BodyText"/>
        <w:rPr>
          <w:lang w:val="en-GB"/>
        </w:rPr>
      </w:pPr>
      <w:r w:rsidRPr="007C1942">
        <w:rPr>
          <w:lang w:val="en-GB"/>
        </w:rPr>
        <w:t xml:space="preserve">The equivalent bow imperfection, </w:t>
      </w:r>
      <w:r w:rsidRPr="007C1942">
        <w:rPr>
          <w:i/>
          <w:lang w:val="en-GB"/>
        </w:rPr>
        <w:t>e</w:t>
      </w:r>
      <w:r w:rsidRPr="00CD3682">
        <w:rPr>
          <w:vertAlign w:val="subscript"/>
          <w:lang w:val="en-GB"/>
        </w:rPr>
        <w:t>0</w:t>
      </w:r>
      <w:r w:rsidRPr="007C1942">
        <w:rPr>
          <w:lang w:val="en-GB"/>
        </w:rPr>
        <w:t xml:space="preserve">, of members for flexural buckling </w:t>
      </w:r>
      <w:r w:rsidR="005B52D0">
        <w:rPr>
          <w:lang w:val="en-GB"/>
        </w:rPr>
        <w:t>is</w:t>
      </w:r>
      <w:r w:rsidR="005B52D0" w:rsidRPr="007C1942">
        <w:rPr>
          <w:lang w:val="en-GB"/>
        </w:rPr>
        <w:t xml:space="preserve"> </w:t>
      </w:r>
      <w:r w:rsidRPr="007C1942">
        <w:rPr>
          <w:lang w:val="en-GB"/>
        </w:rPr>
        <w:t>determined according to Formula (7.9).</w:t>
      </w:r>
    </w:p>
    <w:p w14:paraId="1B8B0408" w14:textId="5A8B720D" w:rsidR="00754E7A" w:rsidRPr="00CD3682" w:rsidRDefault="007C1942" w:rsidP="00CD3682">
      <w:pPr>
        <w:pStyle w:val="BodyText"/>
      </w:pPr>
      <w:r w:rsidRPr="007C1942">
        <w:object w:dxaOrig="999" w:dyaOrig="580" w14:anchorId="1E7E89F9">
          <v:shape id="_x0000_i1027" type="#_x0000_t75" style="width:49.5pt;height:29.25pt" o:ole="">
            <v:imagedata r:id="rId15" o:title=""/>
          </v:shape>
          <o:OLEObject Type="Embed" ProgID="Equation.DSMT4" ShapeID="_x0000_i1027" DrawAspect="Content" ObjectID="_1836627552" r:id="rId16"/>
        </w:object>
      </w:r>
      <w:r w:rsidRPr="007C1942">
        <w:tab/>
        <w:t>(7.9)</w:t>
      </w:r>
    </w:p>
    <w:p w14:paraId="5649C121" w14:textId="18C5CEB4" w:rsidR="007C1942" w:rsidRPr="007C1942" w:rsidRDefault="007C1942" w:rsidP="00CD3682">
      <w:pPr>
        <w:pStyle w:val="BodyText"/>
      </w:pPr>
      <w:proofErr w:type="gramStart"/>
      <w:r w:rsidRPr="007C1942">
        <w:t>where</w:t>
      </w:r>
      <w:proofErr w:type="gramEnd"/>
    </w:p>
    <w:tbl>
      <w:tblPr>
        <w:tblW w:w="0" w:type="auto"/>
        <w:tblInd w:w="440" w:type="dxa"/>
        <w:tblCellMar>
          <w:left w:w="100" w:type="dxa"/>
        </w:tblCellMar>
        <w:tblLook w:val="0000" w:firstRow="0" w:lastRow="0" w:firstColumn="0" w:lastColumn="0" w:noHBand="0" w:noVBand="0"/>
      </w:tblPr>
      <w:tblGrid>
        <w:gridCol w:w="355"/>
        <w:gridCol w:w="8275"/>
      </w:tblGrid>
      <w:tr w:rsidR="00E67F70" w:rsidRPr="007C1942" w14:paraId="6D8F3B01" w14:textId="77777777" w:rsidTr="00ED042E">
        <w:tc>
          <w:tcPr>
            <w:tcW w:w="0" w:type="auto"/>
          </w:tcPr>
          <w:p w14:paraId="6682F8B6" w14:textId="0E21E6AE" w:rsidR="007C1942" w:rsidRPr="007C1942" w:rsidRDefault="007C1942" w:rsidP="00CD3682">
            <w:pPr>
              <w:pStyle w:val="BodyText"/>
            </w:pPr>
            <w:r w:rsidRPr="007C1942">
              <w:t>L</w:t>
            </w:r>
          </w:p>
        </w:tc>
        <w:tc>
          <w:tcPr>
            <w:tcW w:w="0" w:type="auto"/>
          </w:tcPr>
          <w:p w14:paraId="498C4345" w14:textId="75571B39" w:rsidR="007C1942" w:rsidRPr="007C1942" w:rsidRDefault="007C1942" w:rsidP="00CD3682">
            <w:pPr>
              <w:pStyle w:val="BodyText"/>
            </w:pPr>
            <w:r w:rsidRPr="007C1942">
              <w:t>is the member length;</w:t>
            </w:r>
          </w:p>
        </w:tc>
      </w:tr>
      <w:tr w:rsidR="00E67F70" w:rsidRPr="007C1942" w14:paraId="2AD78169" w14:textId="77777777" w:rsidTr="00ED042E">
        <w:tc>
          <w:tcPr>
            <w:tcW w:w="0" w:type="auto"/>
          </w:tcPr>
          <w:p w14:paraId="2E8FD2BB" w14:textId="2965C188" w:rsidR="007C1942" w:rsidRPr="007C1942" w:rsidRDefault="007C1942" w:rsidP="00CD3682">
            <w:pPr>
              <w:pStyle w:val="BodyText"/>
            </w:pPr>
            <w:r w:rsidRPr="007C1942">
              <w:t>α</w:t>
            </w:r>
          </w:p>
        </w:tc>
        <w:tc>
          <w:tcPr>
            <w:tcW w:w="0" w:type="auto"/>
          </w:tcPr>
          <w:p w14:paraId="5E940A00" w14:textId="5DEF1386" w:rsidR="007C1942" w:rsidRPr="007C1942" w:rsidRDefault="007C1942" w:rsidP="00CD3682">
            <w:pPr>
              <w:pStyle w:val="BodyText"/>
            </w:pPr>
            <w:r w:rsidRPr="007C1942">
              <w:t>is the imperfection factor, depending on the relevant buckling curve according to Table 8.2;</w:t>
            </w:r>
          </w:p>
        </w:tc>
      </w:tr>
      <w:tr w:rsidR="00DE55A1" w:rsidRPr="007C1942" w14:paraId="4DE618C6" w14:textId="77777777" w:rsidTr="00ED042E">
        <w:tc>
          <w:tcPr>
            <w:tcW w:w="0" w:type="auto"/>
          </w:tcPr>
          <w:p w14:paraId="5F1B25B1" w14:textId="7B36B132" w:rsidR="007C1942" w:rsidRPr="007C1942" w:rsidRDefault="007C1942" w:rsidP="00CD3682">
            <w:pPr>
              <w:pStyle w:val="BodyText"/>
            </w:pPr>
            <w:r w:rsidRPr="007C1942">
              <w:t>ε</w:t>
            </w:r>
          </w:p>
        </w:tc>
        <w:tc>
          <w:tcPr>
            <w:tcW w:w="0" w:type="auto"/>
          </w:tcPr>
          <w:p w14:paraId="2F81E692" w14:textId="2B0F5930" w:rsidR="007C1942" w:rsidRPr="007C1942" w:rsidRDefault="007C1942" w:rsidP="00CD3682">
            <w:pPr>
              <w:pStyle w:val="BodyText"/>
            </w:pPr>
            <w:r w:rsidRPr="007C1942">
              <w:t>is the material parameter defined in 5.2.5(2);</w:t>
            </w:r>
          </w:p>
        </w:tc>
      </w:tr>
      <w:tr w:rsidR="00DE55A1" w:rsidRPr="007C1942" w14:paraId="0F514C15" w14:textId="77777777" w:rsidTr="00ED042E">
        <w:tc>
          <w:tcPr>
            <w:tcW w:w="0" w:type="auto"/>
          </w:tcPr>
          <w:p w14:paraId="6AAFA2DE" w14:textId="7F710FA5" w:rsidR="007C1942" w:rsidRPr="007C1942" w:rsidRDefault="007C1942" w:rsidP="00CD3682">
            <w:pPr>
              <w:pStyle w:val="BodyText"/>
            </w:pPr>
            <w:r w:rsidRPr="007C1942">
              <w:t>β</w:t>
            </w:r>
          </w:p>
        </w:tc>
        <w:tc>
          <w:tcPr>
            <w:tcW w:w="0" w:type="auto"/>
          </w:tcPr>
          <w:p w14:paraId="6F080B4B" w14:textId="149CC4CA" w:rsidR="007C1942" w:rsidRPr="007C1942" w:rsidRDefault="007C1942" w:rsidP="00CD3682">
            <w:pPr>
              <w:pStyle w:val="BodyText"/>
            </w:pPr>
            <w:r w:rsidRPr="007C1942">
              <w:t>is the reference relative bow imperfection according to Table 7.1.</w:t>
            </w:r>
            <w:r w:rsidR="00D51E5A">
              <w:t>(CYS)</w:t>
            </w:r>
          </w:p>
        </w:tc>
      </w:tr>
    </w:tbl>
    <w:p w14:paraId="458CC485" w14:textId="6508FA10" w:rsidR="00C228A1" w:rsidRPr="007C1942" w:rsidRDefault="005E2F85" w:rsidP="00E67F70">
      <w:pPr>
        <w:pStyle w:val="Heading2"/>
      </w:pPr>
      <w:r w:rsidRPr="00D77796">
        <w:t xml:space="preserve">Clause </w:t>
      </w:r>
      <w:r w:rsidR="008F174E" w:rsidRPr="008F174E">
        <w:t>7.3.3.</w:t>
      </w:r>
      <w:r w:rsidR="008F174E">
        <w:t>2</w:t>
      </w:r>
      <w:r w:rsidR="008F174E" w:rsidRPr="008F174E">
        <w:t> (1)</w:t>
      </w:r>
      <w:r w:rsidR="007C1942">
        <w:t xml:space="preserve"> </w:t>
      </w:r>
      <w:r w:rsidR="007C1942" w:rsidRPr="007C1942">
        <w:t>Lateral torsional buckling</w:t>
      </w:r>
    </w:p>
    <w:p w14:paraId="5DB49D46" w14:textId="0947C74E" w:rsidR="007C1942" w:rsidRPr="007C1942" w:rsidRDefault="00075E2F" w:rsidP="00CD3682">
      <w:pPr>
        <w:pStyle w:val="BodyText"/>
      </w:pPr>
      <w:r>
        <w:t xml:space="preserve">The values of </w:t>
      </w:r>
      <w:r w:rsidRPr="00075E2F">
        <w:rPr>
          <w:i/>
        </w:rPr>
        <w:t>e</w:t>
      </w:r>
      <w:proofErr w:type="gramStart"/>
      <w:r>
        <w:rPr>
          <w:vertAlign w:val="subscript"/>
        </w:rPr>
        <w:t>0,LT</w:t>
      </w:r>
      <w:proofErr w:type="gramEnd"/>
      <w:r>
        <w:t xml:space="preserve"> </w:t>
      </w:r>
      <w:r w:rsidR="007C1942">
        <w:t>are</w:t>
      </w:r>
      <w:r w:rsidR="007C1942" w:rsidRPr="007C1942">
        <w:t xml:space="preserve"> determined according to Formula (7.11). </w:t>
      </w:r>
      <w:r w:rsidR="007C1942" w:rsidRPr="007C1942">
        <w:object w:dxaOrig="1260" w:dyaOrig="580" w14:anchorId="2652B08A">
          <v:shape id="_x0000_i1028" type="#_x0000_t75" style="width:63.75pt;height:29.25pt" o:ole="">
            <v:imagedata r:id="rId17" o:title=""/>
          </v:shape>
          <o:OLEObject Type="Embed" ProgID="Equation.DSMT4" ShapeID="_x0000_i1028" DrawAspect="Content" ObjectID="_1836627553" r:id="rId18"/>
        </w:object>
      </w:r>
      <w:r w:rsidR="007C1942" w:rsidRPr="007C1942">
        <w:tab/>
      </w:r>
    </w:p>
    <w:p w14:paraId="75026A9B" w14:textId="21FAEB9F" w:rsidR="007C1942" w:rsidRPr="007C1942" w:rsidRDefault="007C1942" w:rsidP="00CD3682">
      <w:pPr>
        <w:pStyle w:val="BodyText"/>
      </w:pPr>
      <w:proofErr w:type="gramStart"/>
      <w:r w:rsidRPr="007C1942">
        <w:t>where</w:t>
      </w:r>
      <w:proofErr w:type="gramEnd"/>
    </w:p>
    <w:tbl>
      <w:tblPr>
        <w:tblW w:w="0" w:type="auto"/>
        <w:tblInd w:w="440" w:type="dxa"/>
        <w:tblCellMar>
          <w:left w:w="100" w:type="dxa"/>
        </w:tblCellMar>
        <w:tblLook w:val="0000" w:firstRow="0" w:lastRow="0" w:firstColumn="0" w:lastColumn="0" w:noHBand="0" w:noVBand="0"/>
      </w:tblPr>
      <w:tblGrid>
        <w:gridCol w:w="526"/>
        <w:gridCol w:w="8104"/>
      </w:tblGrid>
      <w:tr w:rsidR="00E67F70" w:rsidRPr="007C1942" w14:paraId="79B91338" w14:textId="77777777" w:rsidTr="00ED042E">
        <w:tc>
          <w:tcPr>
            <w:tcW w:w="0" w:type="auto"/>
          </w:tcPr>
          <w:p w14:paraId="78C0B6E3" w14:textId="27EECC6D" w:rsidR="007C1942" w:rsidRPr="007C1942" w:rsidRDefault="007C1942" w:rsidP="00CD3682">
            <w:pPr>
              <w:pStyle w:val="BodyText"/>
            </w:pPr>
            <w:r w:rsidRPr="007C1942">
              <w:t>L</w:t>
            </w:r>
          </w:p>
        </w:tc>
        <w:tc>
          <w:tcPr>
            <w:tcW w:w="0" w:type="auto"/>
          </w:tcPr>
          <w:p w14:paraId="143528F7" w14:textId="222E177F" w:rsidR="007C1942" w:rsidRPr="007C1942" w:rsidRDefault="007C1942" w:rsidP="00CD3682">
            <w:pPr>
              <w:pStyle w:val="BodyText"/>
            </w:pPr>
            <w:r w:rsidRPr="007C1942">
              <w:t>is the member length;</w:t>
            </w:r>
          </w:p>
        </w:tc>
      </w:tr>
      <w:tr w:rsidR="00DE55A1" w:rsidRPr="007C1942" w14:paraId="56A2AF02" w14:textId="77777777" w:rsidTr="00ED042E">
        <w:tc>
          <w:tcPr>
            <w:tcW w:w="0" w:type="auto"/>
          </w:tcPr>
          <w:p w14:paraId="51D7A2D2" w14:textId="1CBCF029" w:rsidR="007C1942" w:rsidRPr="007C1942" w:rsidRDefault="007C1942" w:rsidP="00CD3682">
            <w:pPr>
              <w:pStyle w:val="BodyText"/>
            </w:pPr>
            <w:r w:rsidRPr="007C1942">
              <w:t>ε</w:t>
            </w:r>
          </w:p>
        </w:tc>
        <w:tc>
          <w:tcPr>
            <w:tcW w:w="0" w:type="auto"/>
          </w:tcPr>
          <w:p w14:paraId="588E3BDD" w14:textId="5F0F8231" w:rsidR="007C1942" w:rsidRPr="007C1942" w:rsidRDefault="007C1942" w:rsidP="00CD3682">
            <w:pPr>
              <w:pStyle w:val="BodyText"/>
            </w:pPr>
            <w:r w:rsidRPr="007C1942">
              <w:t>is the material parameter defined in 5.2.5(2);</w:t>
            </w:r>
          </w:p>
        </w:tc>
      </w:tr>
      <w:tr w:rsidR="00DE55A1" w:rsidRPr="007C1942" w14:paraId="3A20BB84" w14:textId="77777777" w:rsidTr="00ED042E">
        <w:tc>
          <w:tcPr>
            <w:tcW w:w="0" w:type="auto"/>
          </w:tcPr>
          <w:p w14:paraId="5B6B6CD2" w14:textId="26544916" w:rsidR="007C1942" w:rsidRPr="007C1942" w:rsidRDefault="007C1942" w:rsidP="00CD3682">
            <w:pPr>
              <w:pStyle w:val="BodyText"/>
            </w:pPr>
            <w:r w:rsidRPr="007C1942">
              <w:t>β</w:t>
            </w:r>
            <w:r w:rsidRPr="00CD3682">
              <w:rPr>
                <w:vertAlign w:val="subscript"/>
              </w:rPr>
              <w:t>LT</w:t>
            </w:r>
          </w:p>
        </w:tc>
        <w:tc>
          <w:tcPr>
            <w:tcW w:w="0" w:type="auto"/>
          </w:tcPr>
          <w:p w14:paraId="433AAAD3" w14:textId="6B5FB9A2" w:rsidR="007C1942" w:rsidRPr="007C1942" w:rsidRDefault="007C1942" w:rsidP="00CD3682">
            <w:pPr>
              <w:pStyle w:val="BodyText"/>
            </w:pPr>
            <w:r w:rsidRPr="007C1942">
              <w:t>is the reference relative bow imperfection for lateral torsional buckling according to Table 7.2.</w:t>
            </w:r>
          </w:p>
        </w:tc>
      </w:tr>
    </w:tbl>
    <w:p w14:paraId="264FD098" w14:textId="634A5026" w:rsidR="007C1942" w:rsidRPr="00C40FAA" w:rsidRDefault="00E4545C" w:rsidP="00CD3682">
      <w:pPr>
        <w:pStyle w:val="Heading2"/>
      </w:pPr>
      <w:bookmarkStart w:id="12" w:name="_Hlk176793485"/>
      <w:r w:rsidRPr="00D47B56">
        <w:t xml:space="preserve">Clause </w:t>
      </w:r>
      <w:r w:rsidR="008F174E" w:rsidRPr="008F174E">
        <w:t>7.4.1(3)</w:t>
      </w:r>
      <w:r w:rsidR="007813EC" w:rsidRPr="00D47B56">
        <w:t xml:space="preserve"> </w:t>
      </w:r>
      <w:bookmarkStart w:id="13" w:name="_Toc94186867"/>
      <w:r w:rsidR="007C1942" w:rsidRPr="007C1942">
        <w:t>Methods of analysis considering material non-</w:t>
      </w:r>
      <w:r w:rsidR="007C1942">
        <w:t xml:space="preserve"> </w:t>
      </w:r>
      <w:bookmarkEnd w:id="13"/>
      <w:r w:rsidR="007C1942" w:rsidRPr="00C40FAA">
        <w:t>linearities</w:t>
      </w:r>
    </w:p>
    <w:p w14:paraId="33400734" w14:textId="18A48E16" w:rsidR="008E0DA6" w:rsidRPr="007C1942" w:rsidRDefault="007C1942" w:rsidP="00762ABE">
      <w:pPr>
        <w:pStyle w:val="BodyText"/>
      </w:pPr>
      <w:r>
        <w:t>No r</w:t>
      </w:r>
      <w:r w:rsidRPr="007C1942">
        <w:t xml:space="preserve">ules for plastic global analysis based on plastic hinges for steel grades higher than S460 </w:t>
      </w:r>
      <w:r>
        <w:t>are defined.</w:t>
      </w:r>
    </w:p>
    <w:bookmarkEnd w:id="12"/>
    <w:p w14:paraId="0316FB8F" w14:textId="629B2A74" w:rsidR="002678DF" w:rsidRPr="007C1942" w:rsidRDefault="002678DF" w:rsidP="00E67F70">
      <w:pPr>
        <w:pStyle w:val="Heading2"/>
      </w:pPr>
      <w:r w:rsidRPr="00D47B56">
        <w:t xml:space="preserve">Clause </w:t>
      </w:r>
      <w:r w:rsidR="008F174E" w:rsidRPr="008F174E">
        <w:t>8.1 (1)</w:t>
      </w:r>
      <w:r w:rsidR="007C1942">
        <w:t xml:space="preserve"> </w:t>
      </w:r>
      <w:bookmarkStart w:id="14" w:name="_Toc94186876"/>
      <w:r w:rsidR="007C1942" w:rsidRPr="007C1942">
        <w:t>Partial factors</w:t>
      </w:r>
      <w:bookmarkEnd w:id="14"/>
    </w:p>
    <w:p w14:paraId="0B56174D" w14:textId="2255A1DE" w:rsidR="007C1942" w:rsidRDefault="007C1942" w:rsidP="00CD3682">
      <w:pPr>
        <w:pStyle w:val="BodyText"/>
        <w:rPr>
          <w:lang w:val="en-GB"/>
        </w:rPr>
      </w:pPr>
      <w:r w:rsidRPr="007C1942">
        <w:rPr>
          <w:lang w:val="en-GB"/>
        </w:rPr>
        <w:t xml:space="preserve">The partial factors </w:t>
      </w:r>
      <w:proofErr w:type="spellStart"/>
      <w:r w:rsidRPr="007C1942">
        <w:rPr>
          <w:i/>
          <w:lang w:val="en-GB"/>
        </w:rPr>
        <w:t>γ</w:t>
      </w:r>
      <w:r w:rsidRPr="00762ABE">
        <w:rPr>
          <w:vertAlign w:val="subscript"/>
          <w:lang w:val="en-GB"/>
        </w:rPr>
        <w:t>Mi</w:t>
      </w:r>
      <w:proofErr w:type="spellEnd"/>
      <w:r w:rsidRPr="007C1942">
        <w:rPr>
          <w:lang w:val="en-GB"/>
        </w:rPr>
        <w:t xml:space="preserve"> for buildings are</w:t>
      </w:r>
      <w:r>
        <w:rPr>
          <w:lang w:val="en-GB"/>
        </w:rPr>
        <w:t>:</w:t>
      </w:r>
    </w:p>
    <w:p w14:paraId="00C88E30" w14:textId="77777777" w:rsidR="007C1942" w:rsidRDefault="007C1942" w:rsidP="004B106C">
      <w:pPr>
        <w:pStyle w:val="BodyText"/>
        <w:rPr>
          <w:lang w:val="en-GB"/>
        </w:rPr>
      </w:pPr>
      <w:r w:rsidRPr="007C1942">
        <w:rPr>
          <w:i/>
          <w:lang w:val="en-GB"/>
        </w:rPr>
        <w:t>γ</w:t>
      </w:r>
      <w:r w:rsidRPr="00762ABE">
        <w:rPr>
          <w:vertAlign w:val="subscript"/>
          <w:lang w:val="en-GB"/>
        </w:rPr>
        <w:t>M0</w:t>
      </w:r>
      <w:r w:rsidRPr="007C1942">
        <w:rPr>
          <w:lang w:val="en-GB"/>
        </w:rPr>
        <w:t xml:space="preserve"> = 1,00 </w:t>
      </w:r>
    </w:p>
    <w:p w14:paraId="2903772B" w14:textId="18D7F874" w:rsidR="007C1942" w:rsidRDefault="007C1942" w:rsidP="004B106C">
      <w:pPr>
        <w:pStyle w:val="BodyText"/>
        <w:rPr>
          <w:lang w:val="en-GB"/>
        </w:rPr>
      </w:pPr>
      <w:r w:rsidRPr="00001D55">
        <w:rPr>
          <w:i/>
          <w:highlight w:val="yellow"/>
          <w:lang w:val="en-GB"/>
        </w:rPr>
        <w:t>γ</w:t>
      </w:r>
      <w:r w:rsidRPr="00001D55">
        <w:rPr>
          <w:highlight w:val="yellow"/>
          <w:vertAlign w:val="subscript"/>
          <w:lang w:val="en-GB"/>
        </w:rPr>
        <w:t>M1</w:t>
      </w:r>
      <w:r w:rsidRPr="00001D55">
        <w:rPr>
          <w:highlight w:val="yellow"/>
          <w:lang w:val="en-GB"/>
        </w:rPr>
        <w:t> = </w:t>
      </w:r>
      <w:r w:rsidR="004B106C" w:rsidRPr="00001D55">
        <w:rPr>
          <w:highlight w:val="yellow"/>
          <w:lang w:val="en-GB"/>
        </w:rPr>
        <w:t>1,05</w:t>
      </w:r>
      <w:r w:rsidRPr="00001D55">
        <w:rPr>
          <w:highlight w:val="yellow"/>
          <w:lang w:val="en-GB"/>
        </w:rPr>
        <w:t xml:space="preserve"> (option </w:t>
      </w:r>
      <w:r w:rsidR="004B106C" w:rsidRPr="00001D55">
        <w:rPr>
          <w:highlight w:val="yellow"/>
          <w:lang w:val="en-GB"/>
        </w:rPr>
        <w:t>b</w:t>
      </w:r>
      <w:r w:rsidRPr="00001D55">
        <w:rPr>
          <w:highlight w:val="yellow"/>
          <w:lang w:val="en-GB"/>
        </w:rPr>
        <w:t xml:space="preserve"> in 5.2.1(1) is adopted</w:t>
      </w:r>
      <w:r w:rsidR="004B106C" w:rsidRPr="00001D55">
        <w:rPr>
          <w:highlight w:val="yellow"/>
          <w:lang w:val="en-GB"/>
        </w:rPr>
        <w:t xml:space="preserve"> so the partial factor is increased to 1,05</w:t>
      </w:r>
      <w:r w:rsidRPr="00001D55">
        <w:rPr>
          <w:highlight w:val="yellow"/>
          <w:lang w:val="en-GB"/>
        </w:rPr>
        <w:t>)</w:t>
      </w:r>
    </w:p>
    <w:p w14:paraId="3DE65326" w14:textId="2AAE6F1E" w:rsidR="002678DF" w:rsidRPr="004B106C" w:rsidRDefault="007C1942" w:rsidP="004B106C">
      <w:pPr>
        <w:pStyle w:val="BodyText"/>
        <w:rPr>
          <w:lang w:val="en-GB"/>
        </w:rPr>
      </w:pPr>
      <w:r w:rsidRPr="007C1942">
        <w:rPr>
          <w:i/>
          <w:lang w:val="en-GB"/>
        </w:rPr>
        <w:t>γ</w:t>
      </w:r>
      <w:r w:rsidRPr="00762ABE">
        <w:rPr>
          <w:vertAlign w:val="subscript"/>
          <w:lang w:val="en-GB"/>
        </w:rPr>
        <w:t>M2</w:t>
      </w:r>
      <w:r w:rsidRPr="007C1942">
        <w:rPr>
          <w:lang w:val="en-GB"/>
        </w:rPr>
        <w:t> = 1,25</w:t>
      </w:r>
    </w:p>
    <w:p w14:paraId="01D20909" w14:textId="56A19630" w:rsidR="002678DF" w:rsidRDefault="002678DF" w:rsidP="00E67F70">
      <w:pPr>
        <w:pStyle w:val="Heading2"/>
      </w:pPr>
      <w:r w:rsidRPr="00D47B56">
        <w:t xml:space="preserve">Clause </w:t>
      </w:r>
      <w:r w:rsidR="008F174E" w:rsidRPr="008F174E">
        <w:t>8.2.8 (3)</w:t>
      </w:r>
      <w:bookmarkStart w:id="15" w:name="_Toc94186885"/>
      <w:r w:rsidR="0086031B" w:rsidRPr="0086031B">
        <w:rPr>
          <w:rFonts w:ascii="Cambria" w:hAnsi="Cambria" w:cs="Times New Roman"/>
          <w:sz w:val="22"/>
          <w:lang w:eastAsia="ja-JP"/>
        </w:rPr>
        <w:t xml:space="preserve"> </w:t>
      </w:r>
      <w:r w:rsidR="0086031B" w:rsidRPr="0086031B">
        <w:t>Combined bending and shear</w:t>
      </w:r>
      <w:bookmarkEnd w:id="15"/>
    </w:p>
    <w:p w14:paraId="525D9202" w14:textId="2B7C38D7" w:rsidR="002678DF" w:rsidRPr="00D47B56" w:rsidRDefault="0086031B" w:rsidP="00CD3682">
      <w:pPr>
        <w:pStyle w:val="BodyText"/>
        <w:rPr>
          <w:lang w:val="en-GB"/>
        </w:rPr>
      </w:pPr>
      <w:r w:rsidRPr="0086031B">
        <w:rPr>
          <w:lang w:val="en-GB"/>
        </w:rPr>
        <w:t xml:space="preserve">The value of </w:t>
      </w:r>
      <w:proofErr w:type="spellStart"/>
      <w:r w:rsidRPr="0086031B">
        <w:rPr>
          <w:i/>
          <w:lang w:val="en-GB"/>
        </w:rPr>
        <w:t>η</w:t>
      </w:r>
      <w:r w:rsidRPr="005B3A65">
        <w:rPr>
          <w:vertAlign w:val="subscript"/>
          <w:lang w:val="en-GB"/>
        </w:rPr>
        <w:t>V</w:t>
      </w:r>
      <w:proofErr w:type="spellEnd"/>
      <w:r w:rsidRPr="0086031B">
        <w:rPr>
          <w:lang w:val="en-GB"/>
        </w:rPr>
        <w:t xml:space="preserve"> is 0,5</w:t>
      </w:r>
      <w:r w:rsidR="00BC3716">
        <w:rPr>
          <w:lang w:val="en-GB"/>
        </w:rPr>
        <w:t>.</w:t>
      </w:r>
    </w:p>
    <w:p w14:paraId="0A411EFD" w14:textId="69A5C360" w:rsidR="002B2BA7" w:rsidRPr="00DE55A1" w:rsidRDefault="002B2BA7" w:rsidP="00CD3682">
      <w:pPr>
        <w:pStyle w:val="Heading2"/>
      </w:pPr>
      <w:r w:rsidRPr="00D47B56">
        <w:t xml:space="preserve">Clause </w:t>
      </w:r>
      <w:r w:rsidR="008F174E" w:rsidRPr="00DE55A1">
        <w:t>8.3.2.3 (1)</w:t>
      </w:r>
      <w:r w:rsidR="0086031B" w:rsidRPr="00DE55A1">
        <w:rPr>
          <w:rFonts w:ascii="Cambria" w:hAnsi="Cambria"/>
          <w:sz w:val="22"/>
          <w:lang w:eastAsia="ja-JP"/>
        </w:rPr>
        <w:t xml:space="preserve"> </w:t>
      </w:r>
      <w:r w:rsidR="0086031B" w:rsidRPr="00DE55A1">
        <w:t xml:space="preserve">Reduction factors </w:t>
      </w:r>
      <w:proofErr w:type="spellStart"/>
      <w:r w:rsidR="0086031B" w:rsidRPr="00DE55A1">
        <w:rPr>
          <w:i/>
        </w:rPr>
        <w:t>χ</w:t>
      </w:r>
      <w:r w:rsidR="0086031B" w:rsidRPr="00CD3682">
        <w:rPr>
          <w:vertAlign w:val="subscript"/>
        </w:rPr>
        <w:t>LT</w:t>
      </w:r>
      <w:proofErr w:type="spellEnd"/>
      <w:r w:rsidR="0086031B" w:rsidRPr="00DE55A1">
        <w:t xml:space="preserve"> for lateral torsional buckling</w:t>
      </w:r>
    </w:p>
    <w:p w14:paraId="37BC427C" w14:textId="5DFB094F" w:rsidR="002B2BA7" w:rsidRPr="00D77796" w:rsidRDefault="00BC3716" w:rsidP="00BC3716">
      <w:pPr>
        <w:pStyle w:val="BodyText"/>
      </w:pPr>
      <w:r>
        <w:t xml:space="preserve">The limiting value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LT,0</m:t>
            </m:r>
          </m:sub>
        </m:sSub>
      </m:oMath>
      <w:r w:rsidR="000B0677">
        <w:t xml:space="preserve"> is set to 0,4. </w:t>
      </w:r>
      <w:r w:rsidR="002B2BA7" w:rsidRPr="006F00EF">
        <w:t>No</w:t>
      </w:r>
      <w:r w:rsidR="0086031B" w:rsidRPr="006F00EF">
        <w:rPr>
          <w:rFonts w:ascii="Cambria" w:eastAsia="MS Mincho" w:hAnsi="Cambria"/>
          <w:sz w:val="22"/>
          <w:lang w:val="en-GB" w:eastAsia="ja-JP"/>
        </w:rPr>
        <w:t xml:space="preserve"> </w:t>
      </w:r>
      <w:r w:rsidR="0086031B" w:rsidRPr="006F00EF">
        <w:rPr>
          <w:lang w:val="en-GB"/>
        </w:rPr>
        <w:t xml:space="preserve">limitations of validity concerning the beam depth or </w:t>
      </w:r>
      <w:r w:rsidR="0086031B" w:rsidRPr="006F00EF">
        <w:rPr>
          <w:i/>
          <w:lang w:val="en-GB"/>
        </w:rPr>
        <w:t>h</w:t>
      </w:r>
      <w:r w:rsidR="0086031B" w:rsidRPr="006F00EF">
        <w:rPr>
          <w:lang w:val="en-GB"/>
        </w:rPr>
        <w:t>/</w:t>
      </w:r>
      <w:r w:rsidR="0086031B" w:rsidRPr="006F00EF">
        <w:rPr>
          <w:i/>
          <w:lang w:val="en-GB"/>
        </w:rPr>
        <w:t>b</w:t>
      </w:r>
      <w:r w:rsidR="0086031B" w:rsidRPr="006F00EF">
        <w:rPr>
          <w:lang w:val="en-GB"/>
        </w:rPr>
        <w:t xml:space="preserve"> ratio and the limiting value</w:t>
      </w:r>
      <w:r w:rsidR="000B0677">
        <w:rPr>
          <w:lang w:val="en-GB"/>
        </w:rPr>
        <w:t xml:space="preserve"> </w:t>
      </w:r>
      <w:r w:rsidR="000B067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l-GR"/>
                  </w:rPr>
                  <m:t>λ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LT,0</m:t>
            </m:r>
          </m:sub>
        </m:sSub>
      </m:oMath>
      <w:r w:rsidR="000B0677">
        <w:t xml:space="preserve"> </w:t>
      </w:r>
      <w:r w:rsidR="0086031B" w:rsidRPr="006F00EF">
        <w:rPr>
          <w:lang w:val="en-GB"/>
        </w:rPr>
        <w:t xml:space="preserve"> are </w:t>
      </w:r>
      <w:r w:rsidR="000B0677">
        <w:rPr>
          <w:lang w:val="en-GB"/>
        </w:rPr>
        <w:t>set</w:t>
      </w:r>
      <w:r w:rsidR="0086031B" w:rsidRPr="006F00EF">
        <w:rPr>
          <w:lang w:val="en-GB"/>
        </w:rPr>
        <w:t>.</w:t>
      </w:r>
    </w:p>
    <w:p w14:paraId="0405BD66" w14:textId="1F72383B" w:rsidR="009D315B" w:rsidRPr="00E3541E" w:rsidRDefault="002678DF" w:rsidP="00CD3682">
      <w:pPr>
        <w:pStyle w:val="Heading2"/>
        <w:rPr>
          <w:lang w:val="en-US"/>
        </w:rPr>
      </w:pPr>
      <w:r w:rsidRPr="00D47B56">
        <w:lastRenderedPageBreak/>
        <w:t xml:space="preserve">Clause </w:t>
      </w:r>
      <w:r w:rsidR="008F174E" w:rsidRPr="00DE55A1">
        <w:t>8.3.3</w:t>
      </w:r>
      <w:r w:rsidR="00DE55A1">
        <w:t xml:space="preserve"> </w:t>
      </w:r>
      <w:r w:rsidR="008F174E" w:rsidRPr="00DE55A1">
        <w:t>(2)</w:t>
      </w:r>
      <w:bookmarkStart w:id="16" w:name="_Toc94186892"/>
      <w:r w:rsidR="0086031B" w:rsidRPr="00DE55A1">
        <w:rPr>
          <w:rFonts w:ascii="Cambria" w:hAnsi="Cambria" w:cs="Times New Roman"/>
          <w:sz w:val="22"/>
          <w:lang w:eastAsia="ja-JP"/>
        </w:rPr>
        <w:t xml:space="preserve"> </w:t>
      </w:r>
      <w:r w:rsidR="0086031B" w:rsidRPr="00DE55A1">
        <w:t xml:space="preserve">Uniform members in bending and axial </w:t>
      </w:r>
      <w:bookmarkEnd w:id="16"/>
      <w:r w:rsidR="0086031B" w:rsidRPr="00DE55A1">
        <w:t>compression</w:t>
      </w:r>
    </w:p>
    <w:p w14:paraId="0ACB11AD" w14:textId="43A53471" w:rsidR="00001D55" w:rsidRPr="00744B87" w:rsidRDefault="00001D55" w:rsidP="00744B87">
      <w:pPr>
        <w:pStyle w:val="Note"/>
        <w:autoSpaceDE w:val="0"/>
        <w:autoSpaceDN w:val="0"/>
        <w:adjustRightInd w:val="0"/>
        <w:rPr>
          <w:szCs w:val="24"/>
        </w:rPr>
      </w:pPr>
      <w:r w:rsidRPr="00001D55">
        <w:rPr>
          <w:lang w:val="en-US"/>
        </w:rPr>
        <w:t xml:space="preserve">CEN/TS 1993 1 101 </w:t>
      </w:r>
      <w:r w:rsidR="00744B87" w:rsidRPr="00F46624">
        <w:rPr>
          <w:rStyle w:val="stdpublisher"/>
          <w:szCs w:val="24"/>
        </w:rPr>
        <w:t>CEN</w:t>
      </w:r>
      <w:r w:rsidR="00744B87" w:rsidRPr="00F46624">
        <w:rPr>
          <w:szCs w:val="24"/>
        </w:rPr>
        <w:t>/</w:t>
      </w:r>
      <w:r w:rsidR="00744B87" w:rsidRPr="00F46624">
        <w:rPr>
          <w:rStyle w:val="stddocumentType"/>
          <w:szCs w:val="24"/>
        </w:rPr>
        <w:t>TS</w:t>
      </w:r>
      <w:r w:rsidR="00744B87" w:rsidRPr="00F46624">
        <w:rPr>
          <w:szCs w:val="24"/>
        </w:rPr>
        <w:t> </w:t>
      </w:r>
      <w:r w:rsidR="00744B87" w:rsidRPr="00F46624">
        <w:rPr>
          <w:rStyle w:val="stddocNumber"/>
          <w:szCs w:val="24"/>
        </w:rPr>
        <w:t>1993</w:t>
      </w:r>
      <w:r w:rsidR="00744B87" w:rsidRPr="00F46624">
        <w:rPr>
          <w:szCs w:val="24"/>
        </w:rPr>
        <w:noBreakHyphen/>
      </w:r>
      <w:r w:rsidR="00744B87" w:rsidRPr="00F46624">
        <w:rPr>
          <w:rStyle w:val="stddocPartNumber"/>
          <w:szCs w:val="24"/>
        </w:rPr>
        <w:t>1</w:t>
      </w:r>
      <w:r w:rsidR="00744B87" w:rsidRPr="00F46624">
        <w:rPr>
          <w:rStyle w:val="stddocPartNumber"/>
          <w:szCs w:val="24"/>
        </w:rPr>
        <w:noBreakHyphen/>
        <w:t>101</w:t>
      </w:r>
      <w:r w:rsidR="00744B87" w:rsidRPr="00F46624">
        <w:rPr>
          <w:szCs w:val="24"/>
        </w:rPr>
        <w:t xml:space="preserve"> is </w:t>
      </w:r>
      <w:r w:rsidR="00744B87">
        <w:rPr>
          <w:szCs w:val="24"/>
        </w:rPr>
        <w:t xml:space="preserve">not </w:t>
      </w:r>
      <w:r w:rsidR="00744B87" w:rsidRPr="00F46624">
        <w:rPr>
          <w:szCs w:val="24"/>
        </w:rPr>
        <w:t xml:space="preserve">an alternative. </w:t>
      </w:r>
    </w:p>
    <w:p w14:paraId="26BFC474" w14:textId="6B5BE1A8" w:rsidR="009D315B" w:rsidRPr="00DE55A1" w:rsidRDefault="009D315B" w:rsidP="00CD3682">
      <w:pPr>
        <w:pStyle w:val="Heading2"/>
      </w:pPr>
      <w:r w:rsidRPr="00D47B56">
        <w:t xml:space="preserve">Clause </w:t>
      </w:r>
      <w:r w:rsidR="008F174E" w:rsidRPr="00DE55A1">
        <w:t>8.3.4</w:t>
      </w:r>
      <w:r w:rsidR="00DE55A1">
        <w:t xml:space="preserve"> </w:t>
      </w:r>
      <w:r w:rsidR="008F174E" w:rsidRPr="00DE55A1">
        <w:t>(1)</w:t>
      </w:r>
      <w:r w:rsidR="0086031B" w:rsidRPr="00DE55A1">
        <w:t xml:space="preserve"> </w:t>
      </w:r>
      <w:bookmarkStart w:id="17" w:name="_Toc94186893"/>
      <w:r w:rsidR="0086031B" w:rsidRPr="00DE55A1">
        <w:t xml:space="preserve">General method for lateral and lateral torsional </w:t>
      </w:r>
      <w:bookmarkEnd w:id="17"/>
      <w:r w:rsidR="0086031B" w:rsidRPr="00DE55A1">
        <w:t>buckling of structural components</w:t>
      </w:r>
    </w:p>
    <w:p w14:paraId="29DF4564" w14:textId="2E71D462" w:rsidR="00473C7B" w:rsidRPr="00473C7B" w:rsidRDefault="009D315B" w:rsidP="00CD3682">
      <w:pPr>
        <w:pStyle w:val="BodyText"/>
        <w:rPr>
          <w:lang w:val="en-GB"/>
        </w:rPr>
      </w:pPr>
      <w:r w:rsidRPr="006F00EF">
        <w:t xml:space="preserve">No </w:t>
      </w:r>
      <w:r w:rsidR="00473C7B" w:rsidRPr="006F00EF">
        <w:t xml:space="preserve">further details are given </w:t>
      </w:r>
      <w:proofErr w:type="gramStart"/>
      <w:r w:rsidR="00473C7B" w:rsidRPr="006F00EF">
        <w:t>for</w:t>
      </w:r>
      <w:proofErr w:type="gramEnd"/>
      <w:r w:rsidR="00473C7B" w:rsidRPr="006F00EF">
        <w:t xml:space="preserve"> the </w:t>
      </w:r>
      <w:r w:rsidR="00473C7B" w:rsidRPr="006F00EF">
        <w:rPr>
          <w:lang w:val="en-GB"/>
        </w:rPr>
        <w:t xml:space="preserve">field and limits of application of the method given </w:t>
      </w:r>
      <w:proofErr w:type="gramStart"/>
      <w:r w:rsidR="00473C7B" w:rsidRPr="006F00EF">
        <w:rPr>
          <w:lang w:val="en-GB"/>
        </w:rPr>
        <w:t>in</w:t>
      </w:r>
      <w:proofErr w:type="gramEnd"/>
      <w:r w:rsidR="00473C7B" w:rsidRPr="006F00EF">
        <w:rPr>
          <w:lang w:val="en-GB"/>
        </w:rPr>
        <w:t xml:space="preserve"> 8.3.4.</w:t>
      </w:r>
    </w:p>
    <w:p w14:paraId="54A7483A" w14:textId="3EECE6CA" w:rsidR="00473C7B" w:rsidRPr="00473C7B" w:rsidRDefault="00EA1033" w:rsidP="00CD3682">
      <w:pPr>
        <w:pStyle w:val="Heading2"/>
      </w:pPr>
      <w:r w:rsidRPr="00D47B56">
        <w:t xml:space="preserve">Clause </w:t>
      </w:r>
      <w:r w:rsidR="008F174E" w:rsidRPr="008F174E">
        <w:t>9.2</w:t>
      </w:r>
      <w:r w:rsidR="00DE55A1">
        <w:t xml:space="preserve"> </w:t>
      </w:r>
      <w:r w:rsidR="008F174E" w:rsidRPr="008F174E">
        <w:t>(2)B</w:t>
      </w:r>
      <w:bookmarkStart w:id="18" w:name="_Toc94186903"/>
      <w:r w:rsidR="00473C7B" w:rsidRPr="00473C7B">
        <w:rPr>
          <w:rFonts w:ascii="Cambria" w:hAnsi="Cambria" w:cs="Times New Roman"/>
          <w:lang w:eastAsia="ja-JP"/>
        </w:rPr>
        <w:t xml:space="preserve"> </w:t>
      </w:r>
      <w:r w:rsidR="00473C7B" w:rsidRPr="00473C7B">
        <w:t>Deformations and dynamic effects for buildings</w:t>
      </w:r>
      <w:bookmarkStart w:id="19" w:name="_Hlk176796775"/>
      <w:bookmarkEnd w:id="18"/>
    </w:p>
    <w:p w14:paraId="6E77BDF1" w14:textId="5BAA4FA1" w:rsidR="00EA1033" w:rsidRPr="00D77796" w:rsidRDefault="00EA1033" w:rsidP="00473C7B">
      <w:pPr>
        <w:pStyle w:val="ListClause"/>
        <w:spacing w:before="240"/>
        <w:ind w:left="0" w:firstLine="0"/>
        <w:rPr>
          <w:spacing w:val="-2"/>
        </w:rPr>
      </w:pPr>
      <w:r w:rsidRPr="00CD3682">
        <w:rPr>
          <w:spacing w:val="-2"/>
          <w:lang w:val="en-GB"/>
        </w:rPr>
        <w:t xml:space="preserve">No </w:t>
      </w:r>
      <w:bookmarkEnd w:id="19"/>
      <w:r w:rsidR="00473C7B" w:rsidRPr="00CD3682">
        <w:rPr>
          <w:spacing w:val="-2"/>
          <w:lang w:val="en-GB"/>
        </w:rPr>
        <w:t>limits for deformation and vibration of floors are given by the National Annex.</w:t>
      </w:r>
    </w:p>
    <w:p w14:paraId="2ABE2295" w14:textId="77777777" w:rsidR="00E12E9E" w:rsidRDefault="00E12E9E" w:rsidP="00E67F70">
      <w:pPr>
        <w:pStyle w:val="Heading2"/>
      </w:pPr>
      <w:r w:rsidRPr="00D47B56">
        <w:t xml:space="preserve">Clause </w:t>
      </w:r>
      <w:r w:rsidRPr="008F174E">
        <w:t>A.4 (</w:t>
      </w:r>
      <w:r>
        <w:t>2</w:t>
      </w:r>
      <w:r w:rsidRPr="008F174E">
        <w:t>)</w:t>
      </w:r>
      <w:r w:rsidRPr="00473C7B">
        <w:rPr>
          <w:rFonts w:ascii="Cambria" w:eastAsia="Calibri" w:hAnsi="Cambria" w:cs="Times New Roman"/>
          <w:sz w:val="26"/>
          <w:lang w:eastAsia="en-US"/>
        </w:rPr>
        <w:t xml:space="preserve"> </w:t>
      </w:r>
      <w:r w:rsidRPr="00473C7B">
        <w:t>Selection process</w:t>
      </w:r>
    </w:p>
    <w:p w14:paraId="525B4F93" w14:textId="3DB88504" w:rsidR="00E12E9E" w:rsidRPr="006F00EF" w:rsidRDefault="00E12E9E" w:rsidP="00E12E9E">
      <w:pPr>
        <w:tabs>
          <w:tab w:val="left" w:pos="960"/>
        </w:tabs>
        <w:spacing w:before="240" w:line="210" w:lineRule="atLeast"/>
        <w:rPr>
          <w:spacing w:val="-2"/>
        </w:rPr>
      </w:pPr>
      <w:bookmarkStart w:id="20" w:name="_Hlk199543203"/>
      <w:r w:rsidRPr="006F00EF">
        <w:rPr>
          <w:spacing w:val="-2"/>
        </w:rPr>
        <w:t xml:space="preserve">No choice in terms of the type of </w:t>
      </w:r>
      <w:proofErr w:type="gramStart"/>
      <w:r w:rsidRPr="006F00EF">
        <w:rPr>
          <w:spacing w:val="-2"/>
        </w:rPr>
        <w:t>the structure</w:t>
      </w:r>
      <w:bookmarkEnd w:id="20"/>
      <w:proofErr w:type="gramEnd"/>
      <w:r w:rsidRPr="006F00EF">
        <w:rPr>
          <w:spacing w:val="-2"/>
        </w:rPr>
        <w:t xml:space="preserve"> is given.</w:t>
      </w:r>
    </w:p>
    <w:p w14:paraId="45E15444" w14:textId="570B731E" w:rsidR="00473C7B" w:rsidRDefault="00473C7B" w:rsidP="00E67F70">
      <w:pPr>
        <w:pStyle w:val="Heading2"/>
      </w:pPr>
      <w:r w:rsidRPr="00D47B56">
        <w:t xml:space="preserve">Clause </w:t>
      </w:r>
      <w:r w:rsidRPr="008F174E">
        <w:t>A.4 (</w:t>
      </w:r>
      <w:r w:rsidR="00E12E9E">
        <w:t>3</w:t>
      </w:r>
      <w:r w:rsidRPr="008F174E">
        <w:t>)</w:t>
      </w:r>
      <w:r w:rsidRPr="00473C7B">
        <w:rPr>
          <w:rFonts w:ascii="Cambria" w:eastAsia="Calibri" w:hAnsi="Cambria" w:cs="Times New Roman"/>
          <w:sz w:val="26"/>
          <w:lang w:eastAsia="en-US"/>
        </w:rPr>
        <w:t xml:space="preserve"> </w:t>
      </w:r>
      <w:r w:rsidRPr="00473C7B">
        <w:t>Selection process</w:t>
      </w:r>
    </w:p>
    <w:p w14:paraId="3B27240E" w14:textId="539C91E3" w:rsidR="00754E7A" w:rsidRPr="00473C7B" w:rsidRDefault="00473C7B" w:rsidP="00473C7B">
      <w:pPr>
        <w:pStyle w:val="BodyText"/>
        <w:spacing w:before="240"/>
        <w:rPr>
          <w:lang w:val="en-GB"/>
        </w:rPr>
      </w:pPr>
      <w:bookmarkStart w:id="21" w:name="_Hlk199543024"/>
      <w:r w:rsidRPr="00473C7B">
        <w:rPr>
          <w:lang w:val="en-GB"/>
        </w:rPr>
        <w:t>The selection of execution class (EXC) based on type of loading is as given in Table A.1</w:t>
      </w:r>
      <w:r w:rsidR="00D51E5A">
        <w:rPr>
          <w:lang w:val="en-GB"/>
        </w:rPr>
        <w:t>(CYS)</w:t>
      </w:r>
      <w:r w:rsidRPr="00473C7B">
        <w:rPr>
          <w:lang w:val="en-GB"/>
        </w:rPr>
        <w:t xml:space="preserve"> </w:t>
      </w:r>
    </w:p>
    <w:p w14:paraId="09690819" w14:textId="53555BC5" w:rsidR="00473C7B" w:rsidRPr="00473C7B" w:rsidRDefault="00473C7B" w:rsidP="00CD3682">
      <w:pPr>
        <w:pStyle w:val="TableCaption"/>
        <w:rPr>
          <w:lang w:val="en-GB"/>
        </w:rPr>
      </w:pPr>
      <w:r w:rsidRPr="00473C7B">
        <w:rPr>
          <w:lang w:val="en-GB"/>
        </w:rPr>
        <w:t>Table A.1</w:t>
      </w:r>
      <w:r w:rsidR="00754E7A">
        <w:rPr>
          <w:lang w:val="en-GB"/>
        </w:rPr>
        <w:t xml:space="preserve"> </w:t>
      </w:r>
      <w:r w:rsidR="00D51E5A">
        <w:rPr>
          <w:lang w:val="en-GB"/>
        </w:rPr>
        <w:t>(CYS)</w:t>
      </w:r>
      <w:r w:rsidRPr="00473C7B">
        <w:rPr>
          <w:lang w:val="en-GB"/>
        </w:rPr>
        <w:t>— Selection of execution class based on the type of loading (EXC)</w:t>
      </w:r>
    </w:p>
    <w:tbl>
      <w:tblPr>
        <w:tblStyle w:val="TableGrid"/>
        <w:tblW w:w="97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8"/>
        <w:gridCol w:w="1418"/>
        <w:gridCol w:w="1418"/>
        <w:gridCol w:w="1542"/>
      </w:tblGrid>
      <w:tr w:rsidR="00473C7B" w:rsidRPr="00473C7B" w14:paraId="0413A2D2" w14:textId="77777777" w:rsidTr="00ED042E">
        <w:trPr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D4B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Consequence class</w:t>
            </w:r>
            <w:r w:rsidRPr="00473C7B">
              <w:rPr>
                <w:b/>
                <w:lang w:val="en-GB"/>
              </w:rPr>
              <w:br/>
              <w:t>(CC)</w:t>
            </w:r>
          </w:p>
        </w:tc>
        <w:tc>
          <w:tcPr>
            <w:tcW w:w="721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914A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Type of loading</w:t>
            </w:r>
          </w:p>
        </w:tc>
      </w:tr>
      <w:tr w:rsidR="00473C7B" w:rsidRPr="00473C7B" w14:paraId="7567CA21" w14:textId="77777777" w:rsidTr="00ED042E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0B17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8B2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Static</w:t>
            </w:r>
            <w:r w:rsidRPr="00473C7B">
              <w:rPr>
                <w:b/>
                <w:lang w:val="en-GB"/>
              </w:rPr>
              <w:br/>
              <w:t>Quasi-static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2601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Seismic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6C532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proofErr w:type="spellStart"/>
            <w:r w:rsidRPr="00473C7B">
              <w:rPr>
                <w:b/>
                <w:lang w:val="en-GB"/>
              </w:rPr>
              <w:t>Fatigue</w:t>
            </w:r>
            <w:r w:rsidRPr="00CD3682">
              <w:rPr>
                <w:vertAlign w:val="superscript"/>
                <w:lang w:val="en-GB"/>
              </w:rPr>
              <w:t>b</w:t>
            </w:r>
            <w:proofErr w:type="spellEnd"/>
          </w:p>
        </w:tc>
      </w:tr>
      <w:tr w:rsidR="00473C7B" w:rsidRPr="00473C7B" w14:paraId="796FD30E" w14:textId="77777777" w:rsidTr="00ED042E">
        <w:trPr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25252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DCD0DC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53CD3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DC1</w:t>
            </w:r>
            <w:r w:rsidRPr="00CD368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B2745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DC2</w:t>
            </w:r>
            <w:r w:rsidRPr="00CD3682">
              <w:rPr>
                <w:vertAlign w:val="superscript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E59E1" w14:textId="77777777" w:rsidR="00473C7B" w:rsidRPr="00473C7B" w:rsidRDefault="00473C7B" w:rsidP="00473C7B">
            <w:pPr>
              <w:pStyle w:val="BodyText"/>
              <w:rPr>
                <w:b/>
                <w:lang w:val="en-GB"/>
              </w:rPr>
            </w:pPr>
            <w:r w:rsidRPr="00473C7B">
              <w:rPr>
                <w:b/>
                <w:lang w:val="en-GB"/>
              </w:rPr>
              <w:t>DC3</w:t>
            </w:r>
            <w:r w:rsidRPr="00CD3682">
              <w:rPr>
                <w:vertAlign w:val="superscript"/>
                <w:lang w:val="en-GB"/>
              </w:rPr>
              <w:t>a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B0871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</w:p>
        </w:tc>
      </w:tr>
      <w:tr w:rsidR="00473C7B" w:rsidRPr="00473C7B" w14:paraId="09013757" w14:textId="77777777" w:rsidTr="00ED042E">
        <w:trPr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B187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CC3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22E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  <w:r w:rsidRPr="00CD3682">
              <w:rPr>
                <w:vertAlign w:val="superscript"/>
                <w:lang w:val="en-GB"/>
              </w:rPr>
              <w:t>c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C41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  <w:r w:rsidRPr="00CD3682">
              <w:rPr>
                <w:vertAlign w:val="superscript"/>
                <w:lang w:val="en-GB"/>
              </w:rPr>
              <w:t>c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908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  <w:r w:rsidRPr="00CD3682">
              <w:rPr>
                <w:vertAlign w:val="superscript"/>
                <w:lang w:val="en-GB"/>
              </w:rPr>
              <w:t>c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590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  <w:r w:rsidRPr="00CD3682">
              <w:rPr>
                <w:vertAlign w:val="superscript"/>
                <w:lang w:val="en-GB"/>
              </w:rPr>
              <w:t>c</w:t>
            </w:r>
            <w:r w:rsidRPr="00473C7B">
              <w:rPr>
                <w:lang w:val="en-GB"/>
              </w:rPr>
              <w:t xml:space="preserve"> 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D5778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  <w:r w:rsidRPr="00CD3682">
              <w:rPr>
                <w:vertAlign w:val="superscript"/>
                <w:lang w:val="en-GB"/>
              </w:rPr>
              <w:t>c</w:t>
            </w:r>
          </w:p>
        </w:tc>
      </w:tr>
      <w:tr w:rsidR="00473C7B" w:rsidRPr="00473C7B" w14:paraId="1A97FB93" w14:textId="77777777" w:rsidTr="00ED042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68C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CC2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657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B43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326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90F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  <w:r w:rsidRPr="00CD3682">
              <w:rPr>
                <w:vertAlign w:val="superscript"/>
                <w:lang w:val="en-GB"/>
              </w:rPr>
              <w:t>d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83D64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EXC3</w:t>
            </w:r>
          </w:p>
        </w:tc>
      </w:tr>
      <w:tr w:rsidR="00473C7B" w:rsidRPr="00473C7B" w14:paraId="55B5F4A0" w14:textId="77777777" w:rsidTr="00ED042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AEC80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CC1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FC9E1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0C5B5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  <w:r w:rsidRPr="00CD3682">
              <w:rPr>
                <w:vertAlign w:val="superscript"/>
                <w:lang w:val="en-GB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CD8C17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4384D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0DC09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EXC2</w:t>
            </w:r>
          </w:p>
        </w:tc>
      </w:tr>
      <w:tr w:rsidR="00473C7B" w:rsidRPr="00473C7B" w14:paraId="5FC25F4D" w14:textId="77777777" w:rsidTr="00ED042E">
        <w:trPr>
          <w:jc w:val="center"/>
        </w:trPr>
        <w:tc>
          <w:tcPr>
            <w:tcW w:w="97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6702C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a</w:t>
            </w:r>
            <w:r w:rsidRPr="00473C7B">
              <w:rPr>
                <w:lang w:val="en-GB"/>
              </w:rPr>
              <w:tab/>
              <w:t xml:space="preserve">Seismic ductility classes (DC’s) are defined in </w:t>
            </w:r>
            <w:proofErr w:type="spellStart"/>
            <w:r w:rsidRPr="00473C7B">
              <w:rPr>
                <w:lang w:val="en-GB"/>
              </w:rPr>
              <w:t>prEN</w:t>
            </w:r>
            <w:proofErr w:type="spellEnd"/>
            <w:r w:rsidRPr="00473C7B">
              <w:rPr>
                <w:lang w:val="en-GB"/>
              </w:rPr>
              <w:t> 1998-1-1.</w:t>
            </w:r>
          </w:p>
          <w:p w14:paraId="1ABA1DDB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b</w:t>
            </w:r>
            <w:r w:rsidRPr="00473C7B">
              <w:rPr>
                <w:lang w:val="en-GB"/>
              </w:rPr>
              <w:tab/>
              <w:t>See EN 1993-1-9.</w:t>
            </w:r>
          </w:p>
          <w:p w14:paraId="7118142D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c</w:t>
            </w:r>
            <w:r w:rsidRPr="00473C7B">
              <w:rPr>
                <w:lang w:val="en-GB"/>
              </w:rPr>
              <w:tab/>
              <w:t xml:space="preserve">EXC4 may be considered for special cases, including those typically covered by CC4 of </w:t>
            </w:r>
            <w:r w:rsidRPr="00CD3682">
              <w:rPr>
                <w:highlight w:val="yellow"/>
                <w:lang w:val="en-GB"/>
              </w:rPr>
              <w:t>EN </w:t>
            </w:r>
            <w:proofErr w:type="gramStart"/>
            <w:r w:rsidRPr="00CD3682">
              <w:rPr>
                <w:highlight w:val="yellow"/>
                <w:lang w:val="en-GB"/>
              </w:rPr>
              <w:t>1990:—</w:t>
            </w:r>
            <w:proofErr w:type="gramEnd"/>
            <w:r w:rsidRPr="00CD3682">
              <w:rPr>
                <w:highlight w:val="yellow"/>
                <w:lang w:val="en-GB"/>
              </w:rPr>
              <w:t>.</w:t>
            </w:r>
            <w:r w:rsidRPr="00473C7B">
              <w:rPr>
                <w:lang w:val="en-GB"/>
              </w:rPr>
              <w:t xml:space="preserve">  </w:t>
            </w:r>
          </w:p>
          <w:p w14:paraId="43CAF656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d</w:t>
            </w:r>
            <w:r w:rsidRPr="00473C7B">
              <w:rPr>
                <w:lang w:val="en-GB"/>
              </w:rPr>
              <w:tab/>
              <w:t>Only the primary seismic resisting system falls in EXC3; the gravity load resisting system may fall in EXC2.</w:t>
            </w:r>
          </w:p>
          <w:p w14:paraId="5C5921F9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e</w:t>
            </w:r>
            <w:r w:rsidRPr="00473C7B">
              <w:rPr>
                <w:lang w:val="en-GB"/>
              </w:rPr>
              <w:tab/>
              <w:t>If the seismic action index is not greater than 2,5m/s</w:t>
            </w:r>
            <w:r w:rsidRPr="00473C7B">
              <w:rPr>
                <w:vertAlign w:val="superscript"/>
                <w:lang w:val="en-GB"/>
              </w:rPr>
              <w:t>2</w:t>
            </w:r>
            <w:r w:rsidRPr="00473C7B">
              <w:rPr>
                <w:lang w:val="en-GB"/>
              </w:rPr>
              <w:t xml:space="preserve"> (low seismic action class, see </w:t>
            </w:r>
            <w:proofErr w:type="spellStart"/>
            <w:r w:rsidRPr="00473C7B">
              <w:rPr>
                <w:lang w:val="en-GB"/>
              </w:rPr>
              <w:t>prEN</w:t>
            </w:r>
            <w:proofErr w:type="spellEnd"/>
            <w:r w:rsidRPr="00473C7B">
              <w:rPr>
                <w:lang w:val="en-GB"/>
              </w:rPr>
              <w:t xml:space="preserve"> 1998-1</w:t>
            </w:r>
            <w:r w:rsidRPr="00473C7B">
              <w:rPr>
                <w:lang w:val="en-GB"/>
              </w:rPr>
              <w:noBreakHyphen/>
              <w:t>1), the execution class of structures in DC1 may be EXC1.</w:t>
            </w:r>
          </w:p>
          <w:p w14:paraId="62793A67" w14:textId="77777777" w:rsidR="00473C7B" w:rsidRPr="00473C7B" w:rsidRDefault="00473C7B" w:rsidP="00473C7B">
            <w:pPr>
              <w:pStyle w:val="BodyText"/>
              <w:rPr>
                <w:lang w:val="en-GB"/>
              </w:rPr>
            </w:pPr>
            <w:r w:rsidRPr="00473C7B">
              <w:rPr>
                <w:lang w:val="en-GB"/>
              </w:rPr>
              <w:t>NOTE</w:t>
            </w:r>
            <w:r w:rsidRPr="00473C7B">
              <w:rPr>
                <w:lang w:val="en-GB"/>
              </w:rPr>
              <w:tab/>
              <w:t xml:space="preserve">Structures in consequence class CC0 are not covered by this Annex, see </w:t>
            </w:r>
            <w:r w:rsidRPr="00CD3682">
              <w:rPr>
                <w:highlight w:val="yellow"/>
                <w:lang w:val="en-GB"/>
              </w:rPr>
              <w:t xml:space="preserve">EN </w:t>
            </w:r>
            <w:proofErr w:type="gramStart"/>
            <w:r w:rsidRPr="00CD3682">
              <w:rPr>
                <w:highlight w:val="yellow"/>
                <w:lang w:val="en-GB"/>
              </w:rPr>
              <w:t>1990:—</w:t>
            </w:r>
            <w:proofErr w:type="gramEnd"/>
            <w:r w:rsidRPr="00CD3682">
              <w:rPr>
                <w:highlight w:val="yellow"/>
                <w:lang w:val="en-GB"/>
              </w:rPr>
              <w:t>, 4.3.</w:t>
            </w:r>
          </w:p>
        </w:tc>
      </w:tr>
    </w:tbl>
    <w:bookmarkEnd w:id="21"/>
    <w:p w14:paraId="61C84077" w14:textId="7084EA94" w:rsidR="008F174E" w:rsidRDefault="008F174E" w:rsidP="00E67F70">
      <w:pPr>
        <w:pStyle w:val="Heading2"/>
      </w:pPr>
      <w:r w:rsidRPr="00D47B56">
        <w:t xml:space="preserve">Clause </w:t>
      </w:r>
      <w:r w:rsidRPr="008F174E">
        <w:t>A.4</w:t>
      </w:r>
      <w:r w:rsidR="00DE55A1">
        <w:t xml:space="preserve"> </w:t>
      </w:r>
      <w:r w:rsidRPr="008F174E">
        <w:t>(</w:t>
      </w:r>
      <w:r w:rsidR="00E12E9E">
        <w:t>5</w:t>
      </w:r>
      <w:r w:rsidRPr="008F174E">
        <w:t>)</w:t>
      </w:r>
      <w:bookmarkStart w:id="22" w:name="_Toc94186909"/>
      <w:r w:rsidR="00473C7B" w:rsidRPr="00473C7B">
        <w:rPr>
          <w:rFonts w:ascii="Cambria" w:eastAsia="Calibri" w:hAnsi="Cambria" w:cs="Times New Roman"/>
          <w:sz w:val="26"/>
          <w:lang w:eastAsia="en-US"/>
        </w:rPr>
        <w:t xml:space="preserve"> </w:t>
      </w:r>
      <w:r w:rsidR="00473C7B" w:rsidRPr="00473C7B">
        <w:t>Selection process</w:t>
      </w:r>
      <w:bookmarkEnd w:id="22"/>
    </w:p>
    <w:p w14:paraId="05663B87" w14:textId="03A75E55" w:rsidR="002678DF" w:rsidRPr="006E1B87" w:rsidRDefault="00E12E9E" w:rsidP="00CD3682">
      <w:pPr>
        <w:pStyle w:val="BodyText"/>
      </w:pPr>
      <w:r w:rsidRPr="006E1B87">
        <w:rPr>
          <w:lang w:val="en-GB"/>
        </w:rPr>
        <w:t>No</w:t>
      </w:r>
      <w:r w:rsidRPr="006E1B87">
        <w:t xml:space="preserve"> different choices of execution class for types of components or details are given.</w:t>
      </w:r>
    </w:p>
    <w:p w14:paraId="09880B31" w14:textId="36282ACC" w:rsidR="004A54A7" w:rsidRPr="00D77796" w:rsidRDefault="004A54A7" w:rsidP="00DE55A1">
      <w:pPr>
        <w:pStyle w:val="Heading1"/>
      </w:pPr>
      <w:r w:rsidRPr="00D77796">
        <w:t>DECISION ON USE OF THE INFORMATIVE ANNEX</w:t>
      </w:r>
      <w:r w:rsidR="000333A4">
        <w:t xml:space="preserve"> E</w:t>
      </w:r>
    </w:p>
    <w:p w14:paraId="582BFC31" w14:textId="4A01E860" w:rsidR="00511911" w:rsidRPr="00D77796" w:rsidRDefault="00511911" w:rsidP="00E67F70">
      <w:pPr>
        <w:pStyle w:val="Heading2"/>
      </w:pPr>
      <w:r w:rsidRPr="00DE55A1">
        <w:t>Annex</w:t>
      </w:r>
      <w:r w:rsidRPr="00D77796">
        <w:t xml:space="preserve"> </w:t>
      </w:r>
      <w:r w:rsidR="008F174E">
        <w:t>E</w:t>
      </w:r>
    </w:p>
    <w:p w14:paraId="2A76DA44" w14:textId="19D91C5F" w:rsidR="00511911" w:rsidRPr="00D77796" w:rsidRDefault="00511911" w:rsidP="00511911">
      <w:pPr>
        <w:pStyle w:val="BodyText"/>
      </w:pPr>
      <w:r w:rsidRPr="00D77796">
        <w:t xml:space="preserve">Annex </w:t>
      </w:r>
      <w:r w:rsidR="008F174E">
        <w:t>E</w:t>
      </w:r>
      <w:r w:rsidRPr="00D77796">
        <w:t xml:space="preserve"> may be used</w:t>
      </w:r>
    </w:p>
    <w:p w14:paraId="66690878" w14:textId="5927507E" w:rsidR="004A54A7" w:rsidRPr="00D77796" w:rsidRDefault="004A54A7" w:rsidP="00DE55A1">
      <w:pPr>
        <w:pStyle w:val="Heading1"/>
      </w:pPr>
      <w:r w:rsidRPr="00D77796">
        <w:lastRenderedPageBreak/>
        <w:t>REFERENCES TO NON-</w:t>
      </w:r>
      <w:r w:rsidRPr="00DE55A1">
        <w:t>CONTRADICTORY</w:t>
      </w:r>
      <w:r w:rsidRPr="00D77796">
        <w:t xml:space="preserve"> COMPLEMENTARY INFORMATION</w:t>
      </w:r>
    </w:p>
    <w:p w14:paraId="76BB010F" w14:textId="5FED84AC" w:rsidR="00C50791" w:rsidRPr="002A0292" w:rsidRDefault="00E158A3" w:rsidP="00473C7B">
      <w:pPr>
        <w:pStyle w:val="BodyText"/>
      </w:pPr>
      <w:r w:rsidRPr="00D77796">
        <w:t>None</w:t>
      </w:r>
      <w:r w:rsidR="00AE60E8" w:rsidRPr="00D77796">
        <w:t xml:space="preserve"> </w:t>
      </w:r>
    </w:p>
    <w:sectPr w:rsidR="00C50791" w:rsidRPr="002A0292" w:rsidSect="00827B6C">
      <w:headerReference w:type="default" r:id="rId19"/>
      <w:footerReference w:type="defaul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51C2" w14:textId="77777777" w:rsidR="00790758" w:rsidRPr="00D77796" w:rsidRDefault="00790758">
      <w:r w:rsidRPr="00D77796">
        <w:separator/>
      </w:r>
    </w:p>
  </w:endnote>
  <w:endnote w:type="continuationSeparator" w:id="0">
    <w:p w14:paraId="4E7A3230" w14:textId="77777777" w:rsidR="00790758" w:rsidRPr="00D77796" w:rsidRDefault="00790758">
      <w:r w:rsidRPr="00D77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Pr="00D77796" w:rsidRDefault="00CB718E" w:rsidP="00C36B2A">
    <w:pPr>
      <w:pStyle w:val="Footer"/>
      <w:rPr>
        <w:rStyle w:val="PageNumber"/>
      </w:rPr>
    </w:pPr>
    <w:r w:rsidRPr="00D77796">
      <w:rPr>
        <w:rStyle w:val="PageNumber"/>
      </w:rPr>
      <w:fldChar w:fldCharType="begin"/>
    </w:r>
    <w:r w:rsidRPr="00D77796">
      <w:rPr>
        <w:rStyle w:val="PageNumber"/>
      </w:rPr>
      <w:instrText xml:space="preserve">PAGE  </w:instrText>
    </w:r>
    <w:r w:rsidRPr="00D77796">
      <w:rPr>
        <w:rStyle w:val="PageNumber"/>
      </w:rPr>
      <w:fldChar w:fldCharType="end"/>
    </w:r>
  </w:p>
  <w:p w14:paraId="6BD10BDD" w14:textId="77777777" w:rsidR="00CB718E" w:rsidRPr="00D77796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21115ECF" w:rsidR="00CB718E" w:rsidRPr="00D77796" w:rsidRDefault="006E0616" w:rsidP="00C36B2A">
    <w:pPr>
      <w:pStyle w:val="Footer"/>
    </w:pPr>
    <w:r w:rsidRPr="00D77796">
      <w:t>CYS TC 18</w:t>
    </w:r>
    <w:r w:rsidR="00CB718E" w:rsidRPr="00D77796">
      <w:tab/>
      <w:t xml:space="preserve">Page </w:t>
    </w:r>
    <w:r w:rsidR="00CB718E" w:rsidRPr="00D77796">
      <w:fldChar w:fldCharType="begin"/>
    </w:r>
    <w:r w:rsidR="00CB718E" w:rsidRPr="00D77796">
      <w:instrText xml:space="preserve"> PAGE </w:instrText>
    </w:r>
    <w:r w:rsidR="00CB718E" w:rsidRPr="00D77796">
      <w:fldChar w:fldCharType="separate"/>
    </w:r>
    <w:r w:rsidR="004830E6" w:rsidRPr="00D47B56">
      <w:t>6</w:t>
    </w:r>
    <w:r w:rsidR="00CB718E" w:rsidRPr="00D77796">
      <w:fldChar w:fldCharType="end"/>
    </w:r>
    <w:r w:rsidR="00CB718E" w:rsidRPr="00D77796">
      <w:t xml:space="preserve"> of </w:t>
    </w:r>
    <w:r w:rsidR="00CB718E" w:rsidRPr="00D77796">
      <w:fldChar w:fldCharType="begin"/>
    </w:r>
    <w:r w:rsidR="00CB718E" w:rsidRPr="00D77796">
      <w:instrText xml:space="preserve"> NUMPAGES </w:instrText>
    </w:r>
    <w:r w:rsidR="00CB718E" w:rsidRPr="00D77796">
      <w:fldChar w:fldCharType="separate"/>
    </w:r>
    <w:r w:rsidR="004830E6" w:rsidRPr="00D47B56">
      <w:t>11</w:t>
    </w:r>
    <w:r w:rsidR="00CB718E" w:rsidRPr="00D77796">
      <w:fldChar w:fldCharType="end"/>
    </w:r>
    <w:r w:rsidR="00CB718E" w:rsidRPr="00D77796">
      <w:tab/>
    </w:r>
    <w:r w:rsidR="008543B5" w:rsidRPr="008543B5">
      <w:rPr>
        <w:lang w:val="el-GR"/>
      </w:rPr>
      <w:fldChar w:fldCharType="begin"/>
    </w:r>
    <w:r w:rsidR="008543B5" w:rsidRPr="008543B5">
      <w:rPr>
        <w:lang w:val="el-GR"/>
      </w:rPr>
      <w:instrText xml:space="preserve"> SAVEDATE  \@ "d MMMM yyyy"  \* MERGEFORMAT </w:instrText>
    </w:r>
    <w:r w:rsidR="008543B5" w:rsidRPr="008543B5">
      <w:rPr>
        <w:lang w:val="el-GR"/>
      </w:rPr>
      <w:fldChar w:fldCharType="separate"/>
    </w:r>
    <w:r w:rsidR="00E3541E">
      <w:rPr>
        <w:noProof/>
        <w:lang w:val="el-GR"/>
      </w:rPr>
      <w:t>16 Μαρτίου 2026</w:t>
    </w:r>
    <w:r w:rsidR="008543B5" w:rsidRPr="008543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A205" w14:textId="77777777" w:rsidR="00790758" w:rsidRPr="00D77796" w:rsidRDefault="00790758">
      <w:r w:rsidRPr="00D77796">
        <w:separator/>
      </w:r>
    </w:p>
  </w:footnote>
  <w:footnote w:type="continuationSeparator" w:id="0">
    <w:p w14:paraId="047732C6" w14:textId="77777777" w:rsidR="00790758" w:rsidRPr="00D77796" w:rsidRDefault="00790758">
      <w:r w:rsidRPr="00D777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2BC" w14:textId="3EAC6E0A" w:rsidR="00CB718E" w:rsidRPr="00D77796" w:rsidRDefault="00CB718E" w:rsidP="00C36B2A">
    <w:pPr>
      <w:pStyle w:val="Header1"/>
    </w:pPr>
    <w:r w:rsidRPr="00D77796">
      <w:t>National Annex to CYS EN 199</w:t>
    </w:r>
    <w:r w:rsidR="004D362B">
      <w:t>3</w:t>
    </w:r>
    <w:r w:rsidRPr="00D77796">
      <w:t>-1</w:t>
    </w:r>
    <w:r w:rsidR="00031077" w:rsidRPr="00D77796">
      <w:t>-1</w:t>
    </w:r>
    <w:r w:rsidRPr="00D77796">
      <w:t>:</w:t>
    </w:r>
    <w:r w:rsidR="00AB015E" w:rsidRPr="00D77796">
      <w:t>202</w:t>
    </w:r>
    <w:r w:rsidR="004D362B">
      <w:t>2</w:t>
    </w:r>
    <w:r w:rsidR="00AB015E" w:rsidRPr="00D77796">
      <w:t xml:space="preserve"> </w:t>
    </w:r>
    <w:r w:rsidRPr="00D77796">
      <w:t>Eurocode 199</w:t>
    </w:r>
    <w:r w:rsidR="004D362B">
      <w:t>3</w:t>
    </w:r>
    <w:r w:rsidRPr="00D77796">
      <w:t xml:space="preserve">: Design of </w:t>
    </w:r>
    <w:r w:rsidR="00031077" w:rsidRPr="00D77796">
      <w:t xml:space="preserve">Design of </w:t>
    </w:r>
    <w:r w:rsidR="004D362B">
      <w:t>steel</w:t>
    </w:r>
    <w:r w:rsidR="00031077" w:rsidRPr="00D77796">
      <w:t xml:space="preserve"> structures</w:t>
    </w:r>
  </w:p>
  <w:p w14:paraId="5066739F" w14:textId="585D7782" w:rsidR="00CB718E" w:rsidRPr="00D77796" w:rsidRDefault="00CB718E" w:rsidP="00C36B2A">
    <w:pPr>
      <w:pStyle w:val="Header1"/>
    </w:pPr>
    <w:r w:rsidRPr="00D77796">
      <w:t>Part 1</w:t>
    </w:r>
    <w:r w:rsidR="00F31AE7" w:rsidRPr="00D77796">
      <w:t>-1</w:t>
    </w:r>
    <w:r w:rsidRPr="00D77796">
      <w:t>: General Rules</w:t>
    </w:r>
    <w:r w:rsidR="004D362B">
      <w:t xml:space="preserve"> and rules for buildings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FCA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AE6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2F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04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80D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8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144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8F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108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55008"/>
    <w:multiLevelType w:val="multilevel"/>
    <w:tmpl w:val="F52C30A0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</w:lvl>
    <w:lvl w:ilvl="1">
      <w:start w:val="1"/>
      <w:numFmt w:val="decimal"/>
      <w:pStyle w:val="a2"/>
      <w:lvlText w:val="%1.%2"/>
      <w:lvlJc w:val="left"/>
      <w:pPr>
        <w:ind w:left="595" w:hanging="595"/>
      </w:pPr>
    </w:lvl>
    <w:lvl w:ilvl="2">
      <w:start w:val="1"/>
      <w:numFmt w:val="decimal"/>
      <w:pStyle w:val="a3"/>
      <w:lvlText w:val="%1.%2.%3"/>
      <w:lvlJc w:val="left"/>
      <w:pPr>
        <w:ind w:left="737" w:hanging="737"/>
      </w:pPr>
    </w:lvl>
    <w:lvl w:ilvl="3">
      <w:start w:val="1"/>
      <w:numFmt w:val="decimal"/>
      <w:pStyle w:val="a4"/>
      <w:lvlText w:val="%1.%2.%3.%4"/>
      <w:lvlJc w:val="left"/>
      <w:pPr>
        <w:ind w:left="2013" w:hanging="879"/>
      </w:p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</w:lvl>
    <w:lvl w:ilvl="6">
      <w:start w:val="1"/>
      <w:numFmt w:val="lowerRoman"/>
      <w:lvlText w:val="(%7)"/>
      <w:lvlJc w:val="left"/>
      <w:pPr>
        <w:ind w:left="1531" w:hanging="1531"/>
      </w:pPr>
    </w:lvl>
    <w:lvl w:ilvl="7">
      <w:start w:val="1"/>
      <w:numFmt w:val="decimal"/>
      <w:lvlRestart w:val="1"/>
      <w:suff w:val="space"/>
      <w:lvlText w:val="Bild %1.%8 — "/>
      <w:lvlJc w:val="left"/>
      <w:pPr>
        <w:ind w:left="0" w:firstLine="0"/>
      </w:pPr>
    </w:lvl>
    <w:lvl w:ilvl="8">
      <w:start w:val="1"/>
      <w:numFmt w:val="decimal"/>
      <w:lvlRestart w:val="1"/>
      <w:suff w:val="space"/>
      <w:lvlText w:val="Tabelle %1.%9 — "/>
      <w:lvlJc w:val="left"/>
      <w:pPr>
        <w:ind w:left="0" w:firstLine="0"/>
      </w:pPr>
    </w:lvl>
  </w:abstractNum>
  <w:abstractNum w:abstractNumId="11" w15:restartNumberingAfterBreak="0">
    <w:nsid w:val="0CA82804"/>
    <w:multiLevelType w:val="hybridMultilevel"/>
    <w:tmpl w:val="B1080E40"/>
    <w:lvl w:ilvl="0" w:tplc="2BCED7CA">
      <w:start w:val="1"/>
      <w:numFmt w:val="bullet"/>
      <w:lvlText w:val="—"/>
      <w:lvlJc w:val="left"/>
      <w:pPr>
        <w:ind w:left="1286" w:hanging="360"/>
      </w:pPr>
      <w:rPr>
        <w:rFonts w:ascii="Cambria" w:hAnsi="Cambria" w:hint="default"/>
      </w:rPr>
    </w:lvl>
    <w:lvl w:ilvl="1" w:tplc="100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1E567D93"/>
    <w:multiLevelType w:val="hybridMultilevel"/>
    <w:tmpl w:val="AB684312"/>
    <w:lvl w:ilvl="0" w:tplc="FFFFFFFF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2BCED7CA">
      <w:start w:val="1"/>
      <w:numFmt w:val="bullet"/>
      <w:lvlText w:val="—"/>
      <w:lvlJc w:val="left"/>
      <w:pPr>
        <w:ind w:left="1440" w:hanging="360"/>
      </w:pPr>
      <w:rPr>
        <w:rFonts w:ascii="Cambria" w:hAnsi="Cambri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918EA"/>
    <w:multiLevelType w:val="multilevel"/>
    <w:tmpl w:val="B770DC5C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D6E1C79"/>
    <w:multiLevelType w:val="hybridMultilevel"/>
    <w:tmpl w:val="F76ED5F6"/>
    <w:lvl w:ilvl="0" w:tplc="2BCED7CA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944"/>
    <w:multiLevelType w:val="hybridMultilevel"/>
    <w:tmpl w:val="F8FC5DE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393"/>
    <w:multiLevelType w:val="multilevel"/>
    <w:tmpl w:val="1CA89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F36069A"/>
    <w:multiLevelType w:val="hybridMultilevel"/>
    <w:tmpl w:val="01683D32"/>
    <w:lvl w:ilvl="0" w:tplc="2BCED7CA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0D55"/>
    <w:multiLevelType w:val="multilevel"/>
    <w:tmpl w:val="3B522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A652E90"/>
    <w:multiLevelType w:val="multilevel"/>
    <w:tmpl w:val="F7D67E52"/>
    <w:lvl w:ilvl="0">
      <w:start w:val="1"/>
      <w:numFmt w:val="decimal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37770C4"/>
    <w:multiLevelType w:val="hybridMultilevel"/>
    <w:tmpl w:val="4AF29E84"/>
    <w:lvl w:ilvl="0" w:tplc="A7840550">
      <w:start w:val="3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1" w15:restartNumberingAfterBreak="0">
    <w:nsid w:val="77C1713B"/>
    <w:multiLevelType w:val="multilevel"/>
    <w:tmpl w:val="555878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9434499"/>
    <w:multiLevelType w:val="hybridMultilevel"/>
    <w:tmpl w:val="B0AE850A"/>
    <w:lvl w:ilvl="0" w:tplc="2BCED7CA">
      <w:start w:val="1"/>
      <w:numFmt w:val="bullet"/>
      <w:lvlText w:val="—"/>
      <w:lvlJc w:val="left"/>
      <w:pPr>
        <w:ind w:left="1286" w:hanging="360"/>
      </w:pPr>
      <w:rPr>
        <w:rFonts w:ascii="Cambria" w:hAnsi="Cambria" w:hint="default"/>
      </w:rPr>
    </w:lvl>
    <w:lvl w:ilvl="1" w:tplc="100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7C936F9B"/>
    <w:multiLevelType w:val="hybridMultilevel"/>
    <w:tmpl w:val="7E609580"/>
    <w:lvl w:ilvl="0" w:tplc="3984D094">
      <w:start w:val="3"/>
      <w:numFmt w:val="bullet"/>
      <w:lvlText w:val="-"/>
      <w:lvlJc w:val="left"/>
      <w:pPr>
        <w:ind w:left="490" w:hanging="360"/>
      </w:pPr>
      <w:rPr>
        <w:rFonts w:ascii="Cambria" w:eastAsia="MS Mincho" w:hAnsi="Cambria" w:cs="Cambria" w:hint="default"/>
      </w:rPr>
    </w:lvl>
    <w:lvl w:ilvl="1" w:tplc="100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1723139553">
    <w:abstractNumId w:val="9"/>
  </w:num>
  <w:num w:numId="2" w16cid:durableId="707485080">
    <w:abstractNumId w:val="7"/>
  </w:num>
  <w:num w:numId="3" w16cid:durableId="1379819959">
    <w:abstractNumId w:val="6"/>
  </w:num>
  <w:num w:numId="4" w16cid:durableId="2099983987">
    <w:abstractNumId w:val="5"/>
  </w:num>
  <w:num w:numId="5" w16cid:durableId="209848822">
    <w:abstractNumId w:val="4"/>
  </w:num>
  <w:num w:numId="6" w16cid:durableId="1232304151">
    <w:abstractNumId w:val="8"/>
  </w:num>
  <w:num w:numId="7" w16cid:durableId="1770271257">
    <w:abstractNumId w:val="3"/>
  </w:num>
  <w:num w:numId="8" w16cid:durableId="400687159">
    <w:abstractNumId w:val="2"/>
  </w:num>
  <w:num w:numId="9" w16cid:durableId="1733771082">
    <w:abstractNumId w:val="1"/>
  </w:num>
  <w:num w:numId="10" w16cid:durableId="1171022329">
    <w:abstractNumId w:val="0"/>
  </w:num>
  <w:num w:numId="11" w16cid:durableId="1581254914">
    <w:abstractNumId w:val="13"/>
  </w:num>
  <w:num w:numId="12" w16cid:durableId="1267889722">
    <w:abstractNumId w:val="16"/>
  </w:num>
  <w:num w:numId="13" w16cid:durableId="1547178587">
    <w:abstractNumId w:val="21"/>
  </w:num>
  <w:num w:numId="14" w16cid:durableId="1914779171">
    <w:abstractNumId w:val="18"/>
  </w:num>
  <w:num w:numId="15" w16cid:durableId="420031093">
    <w:abstractNumId w:val="19"/>
  </w:num>
  <w:num w:numId="16" w16cid:durableId="226303284">
    <w:abstractNumId w:val="10"/>
  </w:num>
  <w:num w:numId="17" w16cid:durableId="1385178985">
    <w:abstractNumId w:val="23"/>
  </w:num>
  <w:num w:numId="18" w16cid:durableId="1995792405">
    <w:abstractNumId w:val="20"/>
  </w:num>
  <w:num w:numId="19" w16cid:durableId="682826580">
    <w:abstractNumId w:val="11"/>
  </w:num>
  <w:num w:numId="20" w16cid:durableId="885683133">
    <w:abstractNumId w:val="22"/>
  </w:num>
  <w:num w:numId="21" w16cid:durableId="438571730">
    <w:abstractNumId w:val="14"/>
  </w:num>
  <w:num w:numId="22" w16cid:durableId="1164904303">
    <w:abstractNumId w:val="12"/>
  </w:num>
  <w:num w:numId="23" w16cid:durableId="643852636">
    <w:abstractNumId w:val="13"/>
  </w:num>
  <w:num w:numId="24" w16cid:durableId="582883684">
    <w:abstractNumId w:val="17"/>
  </w:num>
  <w:num w:numId="25" w16cid:durableId="777258383">
    <w:abstractNumId w:val="15"/>
  </w:num>
  <w:num w:numId="26" w16cid:durableId="1353411474">
    <w:abstractNumId w:val="13"/>
  </w:num>
  <w:num w:numId="27" w16cid:durableId="144320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262"/>
    <w:rsid w:val="00001422"/>
    <w:rsid w:val="0000186F"/>
    <w:rsid w:val="00001D55"/>
    <w:rsid w:val="0000652D"/>
    <w:rsid w:val="00010EBB"/>
    <w:rsid w:val="00011474"/>
    <w:rsid w:val="00020375"/>
    <w:rsid w:val="00031077"/>
    <w:rsid w:val="000333A4"/>
    <w:rsid w:val="000342A1"/>
    <w:rsid w:val="0003784B"/>
    <w:rsid w:val="000504BA"/>
    <w:rsid w:val="000529CB"/>
    <w:rsid w:val="000530C7"/>
    <w:rsid w:val="000541CF"/>
    <w:rsid w:val="0006021F"/>
    <w:rsid w:val="000611BD"/>
    <w:rsid w:val="00065077"/>
    <w:rsid w:val="00067B31"/>
    <w:rsid w:val="00067F97"/>
    <w:rsid w:val="00075E2F"/>
    <w:rsid w:val="000763A9"/>
    <w:rsid w:val="00076C2C"/>
    <w:rsid w:val="00091A43"/>
    <w:rsid w:val="00092C7E"/>
    <w:rsid w:val="000934B4"/>
    <w:rsid w:val="000A4A07"/>
    <w:rsid w:val="000A5FE9"/>
    <w:rsid w:val="000A78C5"/>
    <w:rsid w:val="000B0677"/>
    <w:rsid w:val="000B2B64"/>
    <w:rsid w:val="000B2C29"/>
    <w:rsid w:val="000B398B"/>
    <w:rsid w:val="000B3B81"/>
    <w:rsid w:val="000C4BEE"/>
    <w:rsid w:val="000D3A80"/>
    <w:rsid w:val="000D4C93"/>
    <w:rsid w:val="000D4EA9"/>
    <w:rsid w:val="000E7D30"/>
    <w:rsid w:val="000F1E3F"/>
    <w:rsid w:val="000F2911"/>
    <w:rsid w:val="00106E50"/>
    <w:rsid w:val="00113BA2"/>
    <w:rsid w:val="00115D5C"/>
    <w:rsid w:val="00120201"/>
    <w:rsid w:val="00120EDA"/>
    <w:rsid w:val="00121CC0"/>
    <w:rsid w:val="00122043"/>
    <w:rsid w:val="00122FD8"/>
    <w:rsid w:val="00125C46"/>
    <w:rsid w:val="00126A9F"/>
    <w:rsid w:val="00132C53"/>
    <w:rsid w:val="00134153"/>
    <w:rsid w:val="00136E98"/>
    <w:rsid w:val="00137ED4"/>
    <w:rsid w:val="00145129"/>
    <w:rsid w:val="00146954"/>
    <w:rsid w:val="00152E01"/>
    <w:rsid w:val="00163973"/>
    <w:rsid w:val="001640F3"/>
    <w:rsid w:val="00164847"/>
    <w:rsid w:val="00177E56"/>
    <w:rsid w:val="0018071E"/>
    <w:rsid w:val="00180F9A"/>
    <w:rsid w:val="0018389C"/>
    <w:rsid w:val="00184863"/>
    <w:rsid w:val="00186FF3"/>
    <w:rsid w:val="001A1083"/>
    <w:rsid w:val="001A5377"/>
    <w:rsid w:val="001A5CC8"/>
    <w:rsid w:val="001A65BE"/>
    <w:rsid w:val="001B2221"/>
    <w:rsid w:val="001B6567"/>
    <w:rsid w:val="001B72CB"/>
    <w:rsid w:val="001C3596"/>
    <w:rsid w:val="001D0B77"/>
    <w:rsid w:val="001D2FDE"/>
    <w:rsid w:val="001D5CE5"/>
    <w:rsid w:val="001D7B59"/>
    <w:rsid w:val="001E283E"/>
    <w:rsid w:val="001E30C4"/>
    <w:rsid w:val="001E433E"/>
    <w:rsid w:val="001E44BE"/>
    <w:rsid w:val="001E4AC4"/>
    <w:rsid w:val="001E4ACD"/>
    <w:rsid w:val="001E4F05"/>
    <w:rsid w:val="001F3F53"/>
    <w:rsid w:val="001F6512"/>
    <w:rsid w:val="001F7895"/>
    <w:rsid w:val="00203953"/>
    <w:rsid w:val="00203A6D"/>
    <w:rsid w:val="0020696D"/>
    <w:rsid w:val="00206C1B"/>
    <w:rsid w:val="002277D1"/>
    <w:rsid w:val="00231F58"/>
    <w:rsid w:val="002332AF"/>
    <w:rsid w:val="00235FB6"/>
    <w:rsid w:val="00237E77"/>
    <w:rsid w:val="00240311"/>
    <w:rsid w:val="00244110"/>
    <w:rsid w:val="00244FBB"/>
    <w:rsid w:val="00247A62"/>
    <w:rsid w:val="00250502"/>
    <w:rsid w:val="002536D7"/>
    <w:rsid w:val="00255232"/>
    <w:rsid w:val="002559AE"/>
    <w:rsid w:val="00256382"/>
    <w:rsid w:val="00266E6E"/>
    <w:rsid w:val="002678DF"/>
    <w:rsid w:val="0027181D"/>
    <w:rsid w:val="00271E0C"/>
    <w:rsid w:val="00277A9D"/>
    <w:rsid w:val="00280D62"/>
    <w:rsid w:val="00287404"/>
    <w:rsid w:val="002A0292"/>
    <w:rsid w:val="002A19F7"/>
    <w:rsid w:val="002A52AE"/>
    <w:rsid w:val="002B2334"/>
    <w:rsid w:val="002B2BA7"/>
    <w:rsid w:val="002B6242"/>
    <w:rsid w:val="002B64EB"/>
    <w:rsid w:val="002C2B3A"/>
    <w:rsid w:val="002D29D2"/>
    <w:rsid w:val="002E1E52"/>
    <w:rsid w:val="002E6369"/>
    <w:rsid w:val="002E6670"/>
    <w:rsid w:val="002E7B67"/>
    <w:rsid w:val="002F160A"/>
    <w:rsid w:val="002F466B"/>
    <w:rsid w:val="00302AD7"/>
    <w:rsid w:val="003033CD"/>
    <w:rsid w:val="00303805"/>
    <w:rsid w:val="003111DE"/>
    <w:rsid w:val="00317829"/>
    <w:rsid w:val="00322A42"/>
    <w:rsid w:val="00336D7D"/>
    <w:rsid w:val="003427D1"/>
    <w:rsid w:val="00354EF3"/>
    <w:rsid w:val="00356896"/>
    <w:rsid w:val="00362D81"/>
    <w:rsid w:val="00370874"/>
    <w:rsid w:val="0037335B"/>
    <w:rsid w:val="00373AD9"/>
    <w:rsid w:val="003758ED"/>
    <w:rsid w:val="003759DB"/>
    <w:rsid w:val="00375F6C"/>
    <w:rsid w:val="00384B78"/>
    <w:rsid w:val="00384CC5"/>
    <w:rsid w:val="0039292B"/>
    <w:rsid w:val="00392C62"/>
    <w:rsid w:val="003A15D4"/>
    <w:rsid w:val="003A3BAA"/>
    <w:rsid w:val="003A5460"/>
    <w:rsid w:val="003A6937"/>
    <w:rsid w:val="003B060E"/>
    <w:rsid w:val="003B3A71"/>
    <w:rsid w:val="003B6785"/>
    <w:rsid w:val="003B7079"/>
    <w:rsid w:val="003C5677"/>
    <w:rsid w:val="003D144D"/>
    <w:rsid w:val="003D2E2C"/>
    <w:rsid w:val="003E1CD1"/>
    <w:rsid w:val="003F70BA"/>
    <w:rsid w:val="0040139A"/>
    <w:rsid w:val="00402A70"/>
    <w:rsid w:val="00402BA2"/>
    <w:rsid w:val="00405519"/>
    <w:rsid w:val="00406445"/>
    <w:rsid w:val="0040743C"/>
    <w:rsid w:val="004118AE"/>
    <w:rsid w:val="004141A2"/>
    <w:rsid w:val="004141D8"/>
    <w:rsid w:val="00414C6B"/>
    <w:rsid w:val="004155AA"/>
    <w:rsid w:val="00423AB5"/>
    <w:rsid w:val="004559B2"/>
    <w:rsid w:val="004571A2"/>
    <w:rsid w:val="00460330"/>
    <w:rsid w:val="004608A3"/>
    <w:rsid w:val="00461408"/>
    <w:rsid w:val="0047374A"/>
    <w:rsid w:val="00473C7B"/>
    <w:rsid w:val="004745DE"/>
    <w:rsid w:val="00475E2E"/>
    <w:rsid w:val="00477EA7"/>
    <w:rsid w:val="004830E6"/>
    <w:rsid w:val="0048390A"/>
    <w:rsid w:val="00490635"/>
    <w:rsid w:val="00495A40"/>
    <w:rsid w:val="004967EA"/>
    <w:rsid w:val="004A3D9F"/>
    <w:rsid w:val="004A3DC4"/>
    <w:rsid w:val="004A54A7"/>
    <w:rsid w:val="004A7140"/>
    <w:rsid w:val="004A755A"/>
    <w:rsid w:val="004B106C"/>
    <w:rsid w:val="004B1EAD"/>
    <w:rsid w:val="004B2DC2"/>
    <w:rsid w:val="004B38A4"/>
    <w:rsid w:val="004B3C39"/>
    <w:rsid w:val="004B3C8A"/>
    <w:rsid w:val="004B559C"/>
    <w:rsid w:val="004B5D51"/>
    <w:rsid w:val="004B5D7B"/>
    <w:rsid w:val="004C0340"/>
    <w:rsid w:val="004C12FF"/>
    <w:rsid w:val="004C21A4"/>
    <w:rsid w:val="004C2AC6"/>
    <w:rsid w:val="004C5E6E"/>
    <w:rsid w:val="004D11C4"/>
    <w:rsid w:val="004D2B18"/>
    <w:rsid w:val="004D362B"/>
    <w:rsid w:val="004D60A8"/>
    <w:rsid w:val="004E14A3"/>
    <w:rsid w:val="004E39DA"/>
    <w:rsid w:val="004E4A7D"/>
    <w:rsid w:val="004E771E"/>
    <w:rsid w:val="00505EFA"/>
    <w:rsid w:val="00511911"/>
    <w:rsid w:val="0051203B"/>
    <w:rsid w:val="005148BB"/>
    <w:rsid w:val="00520206"/>
    <w:rsid w:val="00524A0F"/>
    <w:rsid w:val="005303B6"/>
    <w:rsid w:val="0053254C"/>
    <w:rsid w:val="00534D19"/>
    <w:rsid w:val="00544CD1"/>
    <w:rsid w:val="0055005D"/>
    <w:rsid w:val="005638F8"/>
    <w:rsid w:val="005648DA"/>
    <w:rsid w:val="00565261"/>
    <w:rsid w:val="005673BD"/>
    <w:rsid w:val="00567A41"/>
    <w:rsid w:val="00571BB0"/>
    <w:rsid w:val="0058261C"/>
    <w:rsid w:val="005829BA"/>
    <w:rsid w:val="005A7E35"/>
    <w:rsid w:val="005B3A65"/>
    <w:rsid w:val="005B52D0"/>
    <w:rsid w:val="005C2174"/>
    <w:rsid w:val="005D122C"/>
    <w:rsid w:val="005D1629"/>
    <w:rsid w:val="005D3D17"/>
    <w:rsid w:val="005D5084"/>
    <w:rsid w:val="005E0A73"/>
    <w:rsid w:val="005E137B"/>
    <w:rsid w:val="005E2F85"/>
    <w:rsid w:val="005E3C5F"/>
    <w:rsid w:val="005F436A"/>
    <w:rsid w:val="005F47CF"/>
    <w:rsid w:val="005F72BB"/>
    <w:rsid w:val="006007CD"/>
    <w:rsid w:val="00601759"/>
    <w:rsid w:val="00606B27"/>
    <w:rsid w:val="00607574"/>
    <w:rsid w:val="006104CF"/>
    <w:rsid w:val="00614992"/>
    <w:rsid w:val="00614A65"/>
    <w:rsid w:val="00616308"/>
    <w:rsid w:val="00616CEB"/>
    <w:rsid w:val="00630DE5"/>
    <w:rsid w:val="0063338F"/>
    <w:rsid w:val="006352D9"/>
    <w:rsid w:val="00636A1A"/>
    <w:rsid w:val="00640322"/>
    <w:rsid w:val="00643AA2"/>
    <w:rsid w:val="0064517B"/>
    <w:rsid w:val="006500AF"/>
    <w:rsid w:val="00655FD1"/>
    <w:rsid w:val="006614E9"/>
    <w:rsid w:val="0067033B"/>
    <w:rsid w:val="0067129A"/>
    <w:rsid w:val="00674066"/>
    <w:rsid w:val="00681EA7"/>
    <w:rsid w:val="00691887"/>
    <w:rsid w:val="00693465"/>
    <w:rsid w:val="006939A8"/>
    <w:rsid w:val="00697BCD"/>
    <w:rsid w:val="006A2987"/>
    <w:rsid w:val="006A3CF0"/>
    <w:rsid w:val="006A7B5F"/>
    <w:rsid w:val="006B2228"/>
    <w:rsid w:val="006B24BC"/>
    <w:rsid w:val="006C2522"/>
    <w:rsid w:val="006C55AB"/>
    <w:rsid w:val="006C6DF9"/>
    <w:rsid w:val="006C7CE2"/>
    <w:rsid w:val="006D1A07"/>
    <w:rsid w:val="006E0616"/>
    <w:rsid w:val="006E0BD2"/>
    <w:rsid w:val="006E1B87"/>
    <w:rsid w:val="006E4D81"/>
    <w:rsid w:val="006E58B1"/>
    <w:rsid w:val="006F00EF"/>
    <w:rsid w:val="006F2C86"/>
    <w:rsid w:val="0070458F"/>
    <w:rsid w:val="00711DBB"/>
    <w:rsid w:val="007131FE"/>
    <w:rsid w:val="00721E32"/>
    <w:rsid w:val="00721F2D"/>
    <w:rsid w:val="00722279"/>
    <w:rsid w:val="00722B80"/>
    <w:rsid w:val="007244DB"/>
    <w:rsid w:val="00724842"/>
    <w:rsid w:val="0073382F"/>
    <w:rsid w:val="00735002"/>
    <w:rsid w:val="00736CBC"/>
    <w:rsid w:val="00744976"/>
    <w:rsid w:val="00744B87"/>
    <w:rsid w:val="00746D5B"/>
    <w:rsid w:val="00750E44"/>
    <w:rsid w:val="007520DC"/>
    <w:rsid w:val="007526F3"/>
    <w:rsid w:val="00754E7A"/>
    <w:rsid w:val="00761D85"/>
    <w:rsid w:val="00762ABE"/>
    <w:rsid w:val="00765F14"/>
    <w:rsid w:val="00770ABB"/>
    <w:rsid w:val="00774742"/>
    <w:rsid w:val="00776226"/>
    <w:rsid w:val="007771A9"/>
    <w:rsid w:val="00777A0A"/>
    <w:rsid w:val="007813EC"/>
    <w:rsid w:val="0078156C"/>
    <w:rsid w:val="00782E0B"/>
    <w:rsid w:val="00783CD4"/>
    <w:rsid w:val="0078527E"/>
    <w:rsid w:val="00786787"/>
    <w:rsid w:val="00790758"/>
    <w:rsid w:val="0079447A"/>
    <w:rsid w:val="007957C9"/>
    <w:rsid w:val="00795828"/>
    <w:rsid w:val="00795926"/>
    <w:rsid w:val="007A46D5"/>
    <w:rsid w:val="007A5BD9"/>
    <w:rsid w:val="007A68AB"/>
    <w:rsid w:val="007A742E"/>
    <w:rsid w:val="007B4111"/>
    <w:rsid w:val="007C1942"/>
    <w:rsid w:val="007C4620"/>
    <w:rsid w:val="007C78CB"/>
    <w:rsid w:val="007D11C6"/>
    <w:rsid w:val="007D7689"/>
    <w:rsid w:val="007E0F3D"/>
    <w:rsid w:val="007E20A1"/>
    <w:rsid w:val="007E60F1"/>
    <w:rsid w:val="007E63A4"/>
    <w:rsid w:val="007F1641"/>
    <w:rsid w:val="007F7539"/>
    <w:rsid w:val="00805893"/>
    <w:rsid w:val="008070BC"/>
    <w:rsid w:val="008138AB"/>
    <w:rsid w:val="00814685"/>
    <w:rsid w:val="008160B5"/>
    <w:rsid w:val="00816A9E"/>
    <w:rsid w:val="00827B6C"/>
    <w:rsid w:val="00830C28"/>
    <w:rsid w:val="00831CD7"/>
    <w:rsid w:val="00837F17"/>
    <w:rsid w:val="00842DC1"/>
    <w:rsid w:val="00843538"/>
    <w:rsid w:val="008435C2"/>
    <w:rsid w:val="00843C03"/>
    <w:rsid w:val="0084611A"/>
    <w:rsid w:val="00846AF8"/>
    <w:rsid w:val="00851B81"/>
    <w:rsid w:val="008543B5"/>
    <w:rsid w:val="00854B2E"/>
    <w:rsid w:val="00857630"/>
    <w:rsid w:val="0086031B"/>
    <w:rsid w:val="0086587E"/>
    <w:rsid w:val="008660D5"/>
    <w:rsid w:val="00871B1E"/>
    <w:rsid w:val="00885842"/>
    <w:rsid w:val="008922B9"/>
    <w:rsid w:val="008A00C6"/>
    <w:rsid w:val="008A1D72"/>
    <w:rsid w:val="008A5E7E"/>
    <w:rsid w:val="008B4336"/>
    <w:rsid w:val="008B4D09"/>
    <w:rsid w:val="008C0B84"/>
    <w:rsid w:val="008C1262"/>
    <w:rsid w:val="008D1B6A"/>
    <w:rsid w:val="008E0DA6"/>
    <w:rsid w:val="008E37BC"/>
    <w:rsid w:val="008E42B0"/>
    <w:rsid w:val="008E616A"/>
    <w:rsid w:val="008E6891"/>
    <w:rsid w:val="008F174E"/>
    <w:rsid w:val="008F3669"/>
    <w:rsid w:val="008F589D"/>
    <w:rsid w:val="008F5C86"/>
    <w:rsid w:val="00904516"/>
    <w:rsid w:val="009049B9"/>
    <w:rsid w:val="00911105"/>
    <w:rsid w:val="00912E99"/>
    <w:rsid w:val="00916CCC"/>
    <w:rsid w:val="009216BD"/>
    <w:rsid w:val="00922104"/>
    <w:rsid w:val="00922905"/>
    <w:rsid w:val="009244F1"/>
    <w:rsid w:val="00924EC0"/>
    <w:rsid w:val="00926865"/>
    <w:rsid w:val="009276FC"/>
    <w:rsid w:val="00931846"/>
    <w:rsid w:val="00934B8D"/>
    <w:rsid w:val="00934F3B"/>
    <w:rsid w:val="00935AC1"/>
    <w:rsid w:val="00936A38"/>
    <w:rsid w:val="00937B84"/>
    <w:rsid w:val="00937D4D"/>
    <w:rsid w:val="00940F4D"/>
    <w:rsid w:val="00944A65"/>
    <w:rsid w:val="009639AD"/>
    <w:rsid w:val="0096644E"/>
    <w:rsid w:val="00967B8D"/>
    <w:rsid w:val="00973E10"/>
    <w:rsid w:val="0097754C"/>
    <w:rsid w:val="00981D04"/>
    <w:rsid w:val="00982FAF"/>
    <w:rsid w:val="00984C8B"/>
    <w:rsid w:val="009851CC"/>
    <w:rsid w:val="00987B52"/>
    <w:rsid w:val="0099158D"/>
    <w:rsid w:val="009946A1"/>
    <w:rsid w:val="009966B1"/>
    <w:rsid w:val="00997EED"/>
    <w:rsid w:val="009A04A9"/>
    <w:rsid w:val="009A2FD7"/>
    <w:rsid w:val="009B2785"/>
    <w:rsid w:val="009B45FA"/>
    <w:rsid w:val="009B5348"/>
    <w:rsid w:val="009B6787"/>
    <w:rsid w:val="009C795B"/>
    <w:rsid w:val="009D1DE6"/>
    <w:rsid w:val="009D315B"/>
    <w:rsid w:val="009D6B11"/>
    <w:rsid w:val="009D7970"/>
    <w:rsid w:val="009E1784"/>
    <w:rsid w:val="009E342C"/>
    <w:rsid w:val="009F148E"/>
    <w:rsid w:val="009F3FCD"/>
    <w:rsid w:val="009F684B"/>
    <w:rsid w:val="00A003FD"/>
    <w:rsid w:val="00A105B5"/>
    <w:rsid w:val="00A10958"/>
    <w:rsid w:val="00A155E5"/>
    <w:rsid w:val="00A15AFB"/>
    <w:rsid w:val="00A2246D"/>
    <w:rsid w:val="00A31891"/>
    <w:rsid w:val="00A32170"/>
    <w:rsid w:val="00A33248"/>
    <w:rsid w:val="00A356D9"/>
    <w:rsid w:val="00A363E0"/>
    <w:rsid w:val="00A42C35"/>
    <w:rsid w:val="00A5399A"/>
    <w:rsid w:val="00A56431"/>
    <w:rsid w:val="00A574A3"/>
    <w:rsid w:val="00A63998"/>
    <w:rsid w:val="00A719E7"/>
    <w:rsid w:val="00A726B2"/>
    <w:rsid w:val="00A72BA9"/>
    <w:rsid w:val="00A732E0"/>
    <w:rsid w:val="00A8525A"/>
    <w:rsid w:val="00A8758D"/>
    <w:rsid w:val="00A922AE"/>
    <w:rsid w:val="00A92568"/>
    <w:rsid w:val="00A927AA"/>
    <w:rsid w:val="00A94429"/>
    <w:rsid w:val="00AA3BD3"/>
    <w:rsid w:val="00AA3F07"/>
    <w:rsid w:val="00AA5217"/>
    <w:rsid w:val="00AA5A76"/>
    <w:rsid w:val="00AA6372"/>
    <w:rsid w:val="00AA73F7"/>
    <w:rsid w:val="00AB015E"/>
    <w:rsid w:val="00AB2513"/>
    <w:rsid w:val="00AB2894"/>
    <w:rsid w:val="00AB3925"/>
    <w:rsid w:val="00AC0428"/>
    <w:rsid w:val="00AD6450"/>
    <w:rsid w:val="00AE297B"/>
    <w:rsid w:val="00AE4439"/>
    <w:rsid w:val="00AE5338"/>
    <w:rsid w:val="00AE60E8"/>
    <w:rsid w:val="00AE70B8"/>
    <w:rsid w:val="00AE73B9"/>
    <w:rsid w:val="00AE7672"/>
    <w:rsid w:val="00AE7CCD"/>
    <w:rsid w:val="00B01C60"/>
    <w:rsid w:val="00B025A7"/>
    <w:rsid w:val="00B0513F"/>
    <w:rsid w:val="00B05634"/>
    <w:rsid w:val="00B05A49"/>
    <w:rsid w:val="00B060BF"/>
    <w:rsid w:val="00B12680"/>
    <w:rsid w:val="00B139B6"/>
    <w:rsid w:val="00B15241"/>
    <w:rsid w:val="00B15D66"/>
    <w:rsid w:val="00B21A3F"/>
    <w:rsid w:val="00B21D3E"/>
    <w:rsid w:val="00B318F9"/>
    <w:rsid w:val="00B34E9E"/>
    <w:rsid w:val="00B35765"/>
    <w:rsid w:val="00B4122B"/>
    <w:rsid w:val="00B41EDF"/>
    <w:rsid w:val="00B423AF"/>
    <w:rsid w:val="00B53651"/>
    <w:rsid w:val="00B53A59"/>
    <w:rsid w:val="00B541F7"/>
    <w:rsid w:val="00B54E4D"/>
    <w:rsid w:val="00B61936"/>
    <w:rsid w:val="00B85021"/>
    <w:rsid w:val="00B908BA"/>
    <w:rsid w:val="00BB34B9"/>
    <w:rsid w:val="00BB4138"/>
    <w:rsid w:val="00BB5791"/>
    <w:rsid w:val="00BB5813"/>
    <w:rsid w:val="00BC023E"/>
    <w:rsid w:val="00BC33CD"/>
    <w:rsid w:val="00BC3716"/>
    <w:rsid w:val="00BC4BEB"/>
    <w:rsid w:val="00BC5FB0"/>
    <w:rsid w:val="00BD1DF8"/>
    <w:rsid w:val="00BE0E08"/>
    <w:rsid w:val="00BE4D92"/>
    <w:rsid w:val="00BE6A6D"/>
    <w:rsid w:val="00BF1E1A"/>
    <w:rsid w:val="00BF2937"/>
    <w:rsid w:val="00BF56EE"/>
    <w:rsid w:val="00BF5811"/>
    <w:rsid w:val="00C019BD"/>
    <w:rsid w:val="00C05996"/>
    <w:rsid w:val="00C14260"/>
    <w:rsid w:val="00C15631"/>
    <w:rsid w:val="00C226DE"/>
    <w:rsid w:val="00C228A1"/>
    <w:rsid w:val="00C27D68"/>
    <w:rsid w:val="00C33185"/>
    <w:rsid w:val="00C3321D"/>
    <w:rsid w:val="00C36B2A"/>
    <w:rsid w:val="00C40FAA"/>
    <w:rsid w:val="00C41548"/>
    <w:rsid w:val="00C42CD3"/>
    <w:rsid w:val="00C50791"/>
    <w:rsid w:val="00C50AEE"/>
    <w:rsid w:val="00C52C49"/>
    <w:rsid w:val="00C57B7D"/>
    <w:rsid w:val="00C60157"/>
    <w:rsid w:val="00C61B5F"/>
    <w:rsid w:val="00C63234"/>
    <w:rsid w:val="00C65636"/>
    <w:rsid w:val="00C70F21"/>
    <w:rsid w:val="00C756DD"/>
    <w:rsid w:val="00C75F13"/>
    <w:rsid w:val="00C839B9"/>
    <w:rsid w:val="00C844B1"/>
    <w:rsid w:val="00C87007"/>
    <w:rsid w:val="00C93D07"/>
    <w:rsid w:val="00C94F05"/>
    <w:rsid w:val="00C9529E"/>
    <w:rsid w:val="00CA03B4"/>
    <w:rsid w:val="00CA04F3"/>
    <w:rsid w:val="00CA16C3"/>
    <w:rsid w:val="00CA6DD3"/>
    <w:rsid w:val="00CB36A8"/>
    <w:rsid w:val="00CB718E"/>
    <w:rsid w:val="00CD02A5"/>
    <w:rsid w:val="00CD3682"/>
    <w:rsid w:val="00CD3CB0"/>
    <w:rsid w:val="00CD5976"/>
    <w:rsid w:val="00CE2021"/>
    <w:rsid w:val="00CE2AAD"/>
    <w:rsid w:val="00CE4B4E"/>
    <w:rsid w:val="00CF4A76"/>
    <w:rsid w:val="00CF5F1D"/>
    <w:rsid w:val="00CF6794"/>
    <w:rsid w:val="00CF7550"/>
    <w:rsid w:val="00D04A1E"/>
    <w:rsid w:val="00D05005"/>
    <w:rsid w:val="00D100BE"/>
    <w:rsid w:val="00D139BE"/>
    <w:rsid w:val="00D15A3B"/>
    <w:rsid w:val="00D222EC"/>
    <w:rsid w:val="00D30571"/>
    <w:rsid w:val="00D31167"/>
    <w:rsid w:val="00D31B72"/>
    <w:rsid w:val="00D34C93"/>
    <w:rsid w:val="00D400F2"/>
    <w:rsid w:val="00D432D3"/>
    <w:rsid w:val="00D43B89"/>
    <w:rsid w:val="00D4487B"/>
    <w:rsid w:val="00D451A3"/>
    <w:rsid w:val="00D4751D"/>
    <w:rsid w:val="00D47B56"/>
    <w:rsid w:val="00D51E5A"/>
    <w:rsid w:val="00D52851"/>
    <w:rsid w:val="00D55D80"/>
    <w:rsid w:val="00D5683A"/>
    <w:rsid w:val="00D574A2"/>
    <w:rsid w:val="00D61B99"/>
    <w:rsid w:val="00D61ED5"/>
    <w:rsid w:val="00D6383C"/>
    <w:rsid w:val="00D677C5"/>
    <w:rsid w:val="00D67D90"/>
    <w:rsid w:val="00D72096"/>
    <w:rsid w:val="00D77796"/>
    <w:rsid w:val="00D82538"/>
    <w:rsid w:val="00D8290C"/>
    <w:rsid w:val="00D96405"/>
    <w:rsid w:val="00DA5481"/>
    <w:rsid w:val="00DB5ECD"/>
    <w:rsid w:val="00DB7E6A"/>
    <w:rsid w:val="00DC301C"/>
    <w:rsid w:val="00DC3F95"/>
    <w:rsid w:val="00DC4E7C"/>
    <w:rsid w:val="00DD1074"/>
    <w:rsid w:val="00DD3C8D"/>
    <w:rsid w:val="00DD4BDE"/>
    <w:rsid w:val="00DD6C4C"/>
    <w:rsid w:val="00DE00AD"/>
    <w:rsid w:val="00DE1923"/>
    <w:rsid w:val="00DE2C01"/>
    <w:rsid w:val="00DE381B"/>
    <w:rsid w:val="00DE55A1"/>
    <w:rsid w:val="00DE571B"/>
    <w:rsid w:val="00DE5D5F"/>
    <w:rsid w:val="00E007F8"/>
    <w:rsid w:val="00E12E9E"/>
    <w:rsid w:val="00E158A3"/>
    <w:rsid w:val="00E207DE"/>
    <w:rsid w:val="00E21416"/>
    <w:rsid w:val="00E2621D"/>
    <w:rsid w:val="00E30BDD"/>
    <w:rsid w:val="00E34232"/>
    <w:rsid w:val="00E3541E"/>
    <w:rsid w:val="00E43CD7"/>
    <w:rsid w:val="00E4545C"/>
    <w:rsid w:val="00E558CD"/>
    <w:rsid w:val="00E57179"/>
    <w:rsid w:val="00E649A5"/>
    <w:rsid w:val="00E67F70"/>
    <w:rsid w:val="00E7356F"/>
    <w:rsid w:val="00E74831"/>
    <w:rsid w:val="00E81C07"/>
    <w:rsid w:val="00E8583B"/>
    <w:rsid w:val="00E876E4"/>
    <w:rsid w:val="00E87817"/>
    <w:rsid w:val="00E97C33"/>
    <w:rsid w:val="00EA069F"/>
    <w:rsid w:val="00EA1033"/>
    <w:rsid w:val="00EA1B15"/>
    <w:rsid w:val="00EA6E0A"/>
    <w:rsid w:val="00EB2BA3"/>
    <w:rsid w:val="00EB5321"/>
    <w:rsid w:val="00EB5F99"/>
    <w:rsid w:val="00EB72D5"/>
    <w:rsid w:val="00EC14D4"/>
    <w:rsid w:val="00EC472B"/>
    <w:rsid w:val="00EC4C8A"/>
    <w:rsid w:val="00EC6A51"/>
    <w:rsid w:val="00EF1871"/>
    <w:rsid w:val="00EF5A42"/>
    <w:rsid w:val="00F028A2"/>
    <w:rsid w:val="00F058A0"/>
    <w:rsid w:val="00F12681"/>
    <w:rsid w:val="00F21F32"/>
    <w:rsid w:val="00F302ED"/>
    <w:rsid w:val="00F31AE7"/>
    <w:rsid w:val="00F45219"/>
    <w:rsid w:val="00F52E7A"/>
    <w:rsid w:val="00F578EF"/>
    <w:rsid w:val="00F60888"/>
    <w:rsid w:val="00F62671"/>
    <w:rsid w:val="00F66CAE"/>
    <w:rsid w:val="00F73066"/>
    <w:rsid w:val="00F76467"/>
    <w:rsid w:val="00F773A2"/>
    <w:rsid w:val="00F8711F"/>
    <w:rsid w:val="00F93666"/>
    <w:rsid w:val="00F9570B"/>
    <w:rsid w:val="00FA36B7"/>
    <w:rsid w:val="00FB1830"/>
    <w:rsid w:val="00FB3D2D"/>
    <w:rsid w:val="00FB741E"/>
    <w:rsid w:val="00FC207E"/>
    <w:rsid w:val="00FC32C4"/>
    <w:rsid w:val="00FC56D4"/>
    <w:rsid w:val="00FC6ABE"/>
    <w:rsid w:val="00FD285B"/>
    <w:rsid w:val="00FD7729"/>
    <w:rsid w:val="00FE1F51"/>
    <w:rsid w:val="00FE6B9B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E0BC2"/>
  <w15:chartTrackingRefBased/>
  <w15:docId w15:val="{474ACADA-34E3-4AFC-BB33-23DF853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2F"/>
    <w:pPr>
      <w:jc w:val="both"/>
    </w:pPr>
    <w:rPr>
      <w:sz w:val="24"/>
      <w:szCs w:val="24"/>
      <w:lang w:val="en-US" w:eastAsia="el-GR"/>
    </w:rPr>
  </w:style>
  <w:style w:type="paragraph" w:styleId="Heading1">
    <w:name w:val="heading 1"/>
    <w:basedOn w:val="Normal"/>
    <w:next w:val="BodyText"/>
    <w:qFormat/>
    <w:rsid w:val="00DE55A1"/>
    <w:pPr>
      <w:keepNext/>
      <w:numPr>
        <w:numId w:val="11"/>
      </w:numPr>
      <w:tabs>
        <w:tab w:val="clear" w:pos="432"/>
        <w:tab w:val="left" w:pos="1134"/>
      </w:tabs>
      <w:spacing w:before="240" w:after="60"/>
      <w:ind w:left="1134" w:hanging="1134"/>
      <w:jc w:val="lef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E67F70"/>
    <w:pPr>
      <w:keepNext/>
      <w:numPr>
        <w:ilvl w:val="1"/>
        <w:numId w:val="11"/>
      </w:numPr>
      <w:tabs>
        <w:tab w:val="clear" w:pos="576"/>
        <w:tab w:val="num" w:pos="1134"/>
      </w:tabs>
      <w:spacing w:before="240" w:after="60"/>
      <w:ind w:left="1134" w:hanging="1134"/>
      <w:jc w:val="left"/>
      <w:outlineLvl w:val="1"/>
    </w:pPr>
    <w:rPr>
      <w:rFonts w:ascii="Arial" w:hAnsi="Arial" w:cs="Arial"/>
      <w:b/>
      <w:bCs/>
      <w:iCs/>
      <w:lang w:val="en-GB"/>
    </w:rPr>
  </w:style>
  <w:style w:type="paragraph" w:styleId="Heading3">
    <w:name w:val="heading 3"/>
    <w:basedOn w:val="Normal"/>
    <w:next w:val="Normal"/>
    <w:qFormat/>
    <w:rsid w:val="0037335B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ChapterTitle 4,ChapterTitle 41,ChapterTitle 42,ChapterTitle 43,ChapterTitle 44,ChapterTitle 45,ChapterTitle 411,ChapterTitle 421,ChapterTitle 431,ChapterTitle 441,ChapterTitle 46,ChapterTitle 412,ChapterTitle 422,ChapterTitle 432"/>
    <w:basedOn w:val="Normal"/>
    <w:next w:val="Normal"/>
    <w:qFormat/>
    <w:rsid w:val="0037335B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ChapterTitle 5,ChapterTitle 51,ChapterTitle 52,ChapterTitle 53,ChapterTitle 54,ChapterTitle 55,ChapterTitle 511,ChapterTitle 521,ChapterTitle 531,ChapterTitle 541,ChapterTitle 56,ChapterTitle 512,ChapterTitle 522,ChapterTitle 532"/>
    <w:basedOn w:val="Normal"/>
    <w:next w:val="Normal"/>
    <w:qFormat/>
    <w:rsid w:val="0037335B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ChapterTitle 6,ChapterTitle 61,ChapterTitle 62,ChapterTitle 63,ChapterTitle 64,ChapterTitle 65,ChapterTitle 611,ChapterTitle 621,ChapterTitle 631,ChapterTitle 641,ChapterTitle 66,ChapterTitle 612,ChapterTitle 622,ChapterTitle 632"/>
    <w:basedOn w:val="Normal"/>
    <w:next w:val="Normal"/>
    <w:qFormat/>
    <w:rsid w:val="0037335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335B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335B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335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rsid w:val="00567A41"/>
    <w:pPr>
      <w:numPr>
        <w:numId w:val="1"/>
      </w:numPr>
    </w:pPr>
    <w:rPr>
      <w:color w:val="000000"/>
    </w:rPr>
  </w:style>
  <w:style w:type="table" w:styleId="TableGrid">
    <w:name w:val="Table Grid"/>
    <w:basedOn w:val="TableNormal"/>
    <w:uiPriority w:val="39"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145129"/>
    <w:pPr>
      <w:numPr>
        <w:numId w:val="2"/>
      </w:numPr>
      <w:tabs>
        <w:tab w:val="clear" w:pos="643"/>
        <w:tab w:val="num" w:pos="851"/>
      </w:tabs>
      <w:ind w:left="851" w:hanging="425"/>
    </w:pPr>
    <w:rPr>
      <w:color w:val="000000"/>
    </w:rPr>
  </w:style>
  <w:style w:type="paragraph" w:styleId="BlockText">
    <w:name w:val="Block Text"/>
    <w:basedOn w:val="Normal"/>
    <w:rsid w:val="0003784B"/>
    <w:pPr>
      <w:spacing w:after="120"/>
      <w:ind w:left="1440" w:right="1440"/>
    </w:pPr>
  </w:style>
  <w:style w:type="paragraph" w:styleId="Header">
    <w:name w:val="header"/>
    <w:basedOn w:val="Normal"/>
    <w:rsid w:val="00C36B2A"/>
    <w:pPr>
      <w:tabs>
        <w:tab w:val="right" w:pos="8306"/>
      </w:tabs>
      <w:jc w:val="center"/>
    </w:pPr>
    <w:rPr>
      <w:b/>
      <w:sz w:val="20"/>
      <w:szCs w:val="20"/>
    </w:rPr>
  </w:style>
  <w:style w:type="paragraph" w:styleId="Footer">
    <w:name w:val="footer"/>
    <w:basedOn w:val="Normal"/>
    <w:rsid w:val="00C36B2A"/>
    <w:pPr>
      <w:tabs>
        <w:tab w:val="center" w:pos="4536"/>
        <w:tab w:val="right" w:pos="8931"/>
      </w:tabs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9216BD"/>
    <w:rPr>
      <w:sz w:val="16"/>
      <w:szCs w:val="16"/>
    </w:rPr>
  </w:style>
  <w:style w:type="paragraph" w:styleId="CommentText">
    <w:name w:val="annotation text"/>
    <w:basedOn w:val="Normal"/>
    <w:semiHidden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16BD"/>
    <w:rPr>
      <w:b/>
      <w:bCs/>
    </w:rPr>
  </w:style>
  <w:style w:type="paragraph" w:styleId="BalloonText">
    <w:name w:val="Balloon Text"/>
    <w:basedOn w:val="Normal"/>
    <w:semiHidden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</w:rPr>
  </w:style>
  <w:style w:type="paragraph" w:styleId="BodyText">
    <w:name w:val="Body Text"/>
    <w:basedOn w:val="Normal"/>
    <w:link w:val="BodyTextChar"/>
    <w:rsid w:val="00A003FD"/>
    <w:pPr>
      <w:spacing w:after="120"/>
    </w:pPr>
  </w:style>
  <w:style w:type="paragraph" w:styleId="ListNumber">
    <w:name w:val="List Number"/>
    <w:basedOn w:val="Normal"/>
    <w:rsid w:val="00A003FD"/>
  </w:style>
  <w:style w:type="paragraph" w:customStyle="1" w:styleId="Listletter">
    <w:name w:val="List letter"/>
    <w:basedOn w:val="ListNumber"/>
    <w:rsid w:val="00145129"/>
    <w:pPr>
      <w:numPr>
        <w:numId w:val="6"/>
      </w:numPr>
      <w:tabs>
        <w:tab w:val="clear" w:pos="360"/>
        <w:tab w:val="num" w:pos="426"/>
      </w:tabs>
      <w:spacing w:after="120"/>
      <w:ind w:left="426" w:hanging="426"/>
    </w:p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</w:rPr>
  </w:style>
  <w:style w:type="paragraph" w:customStyle="1" w:styleId="Title10">
    <w:name w:val="Title1"/>
    <w:basedOn w:val="Title"/>
    <w:rsid w:val="002277D1"/>
    <w:rPr>
      <w:sz w:val="24"/>
      <w:szCs w:val="24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rsid w:val="00984C8B"/>
    <w:rPr>
      <w:sz w:val="24"/>
      <w:szCs w:val="24"/>
      <w:lang w:val="el-GR" w:eastAsia="el-GR"/>
    </w:rPr>
  </w:style>
  <w:style w:type="paragraph" w:customStyle="1" w:styleId="Note">
    <w:name w:val="Note"/>
    <w:basedOn w:val="Normal"/>
    <w:next w:val="Normal"/>
    <w:link w:val="NoteTegn"/>
    <w:rsid w:val="00460330"/>
    <w:pPr>
      <w:tabs>
        <w:tab w:val="left" w:pos="960"/>
      </w:tabs>
      <w:spacing w:after="240" w:line="21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NoteTegn">
    <w:name w:val="Note Tegn"/>
    <w:link w:val="Note"/>
    <w:rsid w:val="00460330"/>
    <w:rPr>
      <w:rFonts w:ascii="Cambria" w:eastAsia="MS Mincho" w:hAnsi="Cambria" w:cs="Cambria"/>
      <w:lang w:eastAsia="fr-FR"/>
    </w:rPr>
  </w:style>
  <w:style w:type="table" w:styleId="TableColumns4">
    <w:name w:val="Table Columns 4"/>
    <w:basedOn w:val="TableNormal"/>
    <w:rsid w:val="002B6242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Tablefootnote">
    <w:name w:val="Table footnote"/>
    <w:basedOn w:val="Normal"/>
    <w:rsid w:val="002B6242"/>
    <w:pPr>
      <w:tabs>
        <w:tab w:val="left" w:pos="340"/>
      </w:tabs>
      <w:spacing w:before="60" w:after="60" w:line="190" w:lineRule="atLeast"/>
    </w:pPr>
    <w:rPr>
      <w:rFonts w:ascii="Cambria" w:eastAsia="MS Mincho" w:hAnsi="Cambria" w:cs="Cambria"/>
      <w:sz w:val="18"/>
      <w:szCs w:val="20"/>
      <w:lang w:val="en-GB" w:eastAsia="fr-FR"/>
    </w:rPr>
  </w:style>
  <w:style w:type="paragraph" w:customStyle="1" w:styleId="Tabletitle">
    <w:name w:val="Table title"/>
    <w:basedOn w:val="Normal"/>
    <w:next w:val="Normal"/>
    <w:link w:val="TabletitleChar"/>
    <w:rsid w:val="002B6242"/>
    <w:pPr>
      <w:keepNext/>
      <w:suppressAutoHyphens/>
      <w:spacing w:before="120" w:after="120" w:line="230" w:lineRule="atLeast"/>
      <w:jc w:val="center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character" w:customStyle="1" w:styleId="TableFootNoteXref">
    <w:name w:val="TableFootNoteXref"/>
    <w:rsid w:val="002B6242"/>
    <w:rPr>
      <w:noProof/>
      <w:position w:val="6"/>
      <w:sz w:val="16"/>
      <w:lang w:val="fr-FR"/>
    </w:rPr>
  </w:style>
  <w:style w:type="character" w:customStyle="1" w:styleId="Tableheader">
    <w:name w:val="Table header"/>
    <w:rsid w:val="002B6242"/>
    <w:rPr>
      <w:rFonts w:ascii="Cambria" w:hAnsi="Cambria"/>
      <w:b/>
      <w:sz w:val="22"/>
    </w:rPr>
  </w:style>
  <w:style w:type="character" w:customStyle="1" w:styleId="TabletitleChar">
    <w:name w:val="Table title Char"/>
    <w:link w:val="Tabletitle"/>
    <w:locked/>
    <w:rsid w:val="002B6242"/>
    <w:rPr>
      <w:rFonts w:ascii="Cambria" w:eastAsia="MS Mincho" w:hAnsi="Cambria" w:cs="Cambria"/>
      <w:b/>
      <w:sz w:val="22"/>
      <w:lang w:eastAsia="fr-FR"/>
    </w:rPr>
  </w:style>
  <w:style w:type="paragraph" w:styleId="ListContinue">
    <w:name w:val="List Continue"/>
    <w:basedOn w:val="Normal"/>
    <w:uiPriority w:val="99"/>
    <w:semiHidden/>
    <w:unhideWhenUsed/>
    <w:rsid w:val="00904516"/>
    <w:pPr>
      <w:spacing w:after="120"/>
      <w:ind w:left="283"/>
      <w:contextualSpacing/>
    </w:pPr>
  </w:style>
  <w:style w:type="paragraph" w:customStyle="1" w:styleId="a2">
    <w:name w:val="a2"/>
    <w:basedOn w:val="Heading2"/>
    <w:next w:val="Normal"/>
    <w:qFormat/>
    <w:rsid w:val="00904516"/>
    <w:pPr>
      <w:numPr>
        <w:numId w:val="16"/>
      </w:numPr>
      <w:tabs>
        <w:tab w:val="left" w:pos="500"/>
        <w:tab w:val="left" w:pos="720"/>
      </w:tabs>
      <w:suppressAutoHyphens/>
      <w:spacing w:before="270" w:after="240" w:line="270" w:lineRule="exact"/>
      <w:ind w:left="0" w:firstLine="0"/>
    </w:pPr>
    <w:rPr>
      <w:rFonts w:ascii="Cambria" w:eastAsia="MS Mincho" w:hAnsi="Cambria" w:cs="Cambria"/>
      <w:bCs w:val="0"/>
      <w:iCs w:val="0"/>
      <w:sz w:val="26"/>
      <w:szCs w:val="20"/>
      <w:lang w:eastAsia="fr-FR"/>
    </w:rPr>
  </w:style>
  <w:style w:type="paragraph" w:customStyle="1" w:styleId="a3">
    <w:name w:val="a3"/>
    <w:basedOn w:val="Heading3"/>
    <w:next w:val="Normal"/>
    <w:rsid w:val="00904516"/>
    <w:pPr>
      <w:numPr>
        <w:numId w:val="16"/>
      </w:numPr>
      <w:tabs>
        <w:tab w:val="left" w:pos="640"/>
      </w:tabs>
      <w:suppressAutoHyphens/>
      <w:spacing w:before="60" w:after="240" w:line="250" w:lineRule="exact"/>
      <w:jc w:val="left"/>
    </w:pPr>
    <w:rPr>
      <w:rFonts w:ascii="Cambria" w:eastAsia="MS Mincho" w:hAnsi="Cambria" w:cs="Cambria"/>
      <w:bCs w:val="0"/>
      <w:sz w:val="24"/>
      <w:szCs w:val="20"/>
      <w:lang w:val="en-GB" w:eastAsia="fr-FR"/>
    </w:rPr>
  </w:style>
  <w:style w:type="paragraph" w:customStyle="1" w:styleId="a4">
    <w:name w:val="a4"/>
    <w:basedOn w:val="Heading4"/>
    <w:next w:val="Normal"/>
    <w:rsid w:val="00904516"/>
    <w:pPr>
      <w:numPr>
        <w:numId w:val="16"/>
      </w:numPr>
      <w:tabs>
        <w:tab w:val="left" w:pos="880"/>
        <w:tab w:val="left" w:pos="1060"/>
      </w:tabs>
      <w:suppressAutoHyphens/>
      <w:spacing w:before="60" w:after="240" w:line="230" w:lineRule="exact"/>
      <w:ind w:left="879"/>
      <w:jc w:val="left"/>
    </w:pPr>
    <w:rPr>
      <w:rFonts w:ascii="Cambria" w:eastAsia="MS Mincho" w:hAnsi="Cambria" w:cs="Cambria"/>
      <w:bCs w:val="0"/>
      <w:sz w:val="22"/>
      <w:szCs w:val="20"/>
      <w:lang w:val="en-GB" w:eastAsia="fr-FR"/>
    </w:rPr>
  </w:style>
  <w:style w:type="paragraph" w:customStyle="1" w:styleId="a5">
    <w:name w:val="a5"/>
    <w:basedOn w:val="Heading5"/>
    <w:next w:val="Normal"/>
    <w:rsid w:val="00904516"/>
    <w:pPr>
      <w:keepNext/>
      <w:numPr>
        <w:numId w:val="16"/>
      </w:numPr>
      <w:tabs>
        <w:tab w:val="left" w:pos="1140"/>
        <w:tab w:val="left" w:pos="1260"/>
        <w:tab w:val="left" w:pos="1360"/>
      </w:tabs>
      <w:suppressAutoHyphens/>
      <w:spacing w:before="60" w:after="240" w:line="230" w:lineRule="exact"/>
      <w:ind w:left="0" w:firstLine="0"/>
      <w:jc w:val="left"/>
    </w:pPr>
    <w:rPr>
      <w:rFonts w:ascii="Cambria" w:eastAsia="MS Mincho" w:hAnsi="Cambria" w:cs="Cambria"/>
      <w:bCs w:val="0"/>
      <w:i w:val="0"/>
      <w:iCs w:val="0"/>
      <w:sz w:val="22"/>
      <w:szCs w:val="20"/>
      <w:lang w:val="en-GB" w:eastAsia="fr-FR"/>
    </w:rPr>
  </w:style>
  <w:style w:type="paragraph" w:customStyle="1" w:styleId="a6">
    <w:name w:val="a6"/>
    <w:basedOn w:val="Heading6"/>
    <w:next w:val="Normal"/>
    <w:rsid w:val="00904516"/>
    <w:pPr>
      <w:keepNext/>
      <w:numPr>
        <w:numId w:val="16"/>
      </w:numPr>
      <w:tabs>
        <w:tab w:val="left" w:pos="1140"/>
        <w:tab w:val="left" w:pos="1260"/>
        <w:tab w:val="left" w:pos="1360"/>
      </w:tabs>
      <w:suppressAutoHyphens/>
      <w:spacing w:before="60" w:after="240" w:line="230" w:lineRule="exact"/>
      <w:ind w:left="0" w:firstLine="0"/>
      <w:jc w:val="left"/>
    </w:pPr>
    <w:rPr>
      <w:rFonts w:ascii="Cambria" w:eastAsia="MS Mincho" w:hAnsi="Cambria" w:cs="Cambria"/>
      <w:bCs w:val="0"/>
      <w:szCs w:val="20"/>
      <w:lang w:val="en-GB" w:eastAsia="fr-FR"/>
    </w:rPr>
  </w:style>
  <w:style w:type="paragraph" w:customStyle="1" w:styleId="ANNEX">
    <w:name w:val="ANNEX"/>
    <w:basedOn w:val="Normal"/>
    <w:next w:val="Normal"/>
    <w:qFormat/>
    <w:rsid w:val="00904516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rFonts w:ascii="Cambria" w:eastAsia="MS Mincho" w:hAnsi="Cambria" w:cs="Cambria"/>
      <w:b/>
      <w:sz w:val="28"/>
      <w:szCs w:val="28"/>
      <w:lang w:val="en-GB" w:eastAsia="fr-FR"/>
    </w:rPr>
  </w:style>
  <w:style w:type="character" w:customStyle="1" w:styleId="ui-provider">
    <w:name w:val="ui-provider"/>
    <w:basedOn w:val="DefaultParagraphFont"/>
    <w:rsid w:val="007813EC"/>
  </w:style>
  <w:style w:type="paragraph" w:styleId="ListContinue2">
    <w:name w:val="List Continue 2"/>
    <w:basedOn w:val="Normal"/>
    <w:uiPriority w:val="99"/>
    <w:semiHidden/>
    <w:unhideWhenUsed/>
    <w:rsid w:val="00C142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4260"/>
    <w:pPr>
      <w:spacing w:after="120"/>
      <w:ind w:left="849"/>
      <w:contextualSpacing/>
    </w:pPr>
  </w:style>
  <w:style w:type="table" w:styleId="TableColumns5">
    <w:name w:val="Table Columns 5"/>
    <w:basedOn w:val="TableNormal"/>
    <w:rsid w:val="00C14260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C142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67F70"/>
    <w:rPr>
      <w:rFonts w:ascii="Arial" w:hAnsi="Arial" w:cs="Arial"/>
      <w:b/>
      <w:bCs/>
      <w:iCs/>
      <w:sz w:val="24"/>
      <w:szCs w:val="24"/>
      <w:lang w:eastAsia="el-GR"/>
    </w:rPr>
  </w:style>
  <w:style w:type="paragraph" w:styleId="Revision">
    <w:name w:val="Revision"/>
    <w:hidden/>
    <w:uiPriority w:val="99"/>
    <w:semiHidden/>
    <w:rsid w:val="00D43B89"/>
    <w:rPr>
      <w:sz w:val="24"/>
      <w:szCs w:val="24"/>
      <w:lang w:val="el-GR" w:eastAsia="el-GR"/>
    </w:rPr>
  </w:style>
  <w:style w:type="paragraph" w:customStyle="1" w:styleId="ListContinue2-">
    <w:name w:val="List Continue 2 (-)"/>
    <w:basedOn w:val="ListContinue2"/>
    <w:rsid w:val="0040743C"/>
    <w:pPr>
      <w:tabs>
        <w:tab w:val="left" w:pos="800"/>
      </w:tabs>
      <w:spacing w:after="240" w:line="240" w:lineRule="atLeast"/>
      <w:ind w:left="806" w:hanging="403"/>
      <w:contextualSpacing w:val="0"/>
    </w:pPr>
    <w:rPr>
      <w:rFonts w:ascii="Cambria" w:eastAsia="Calibri" w:hAnsi="Cambria"/>
      <w:sz w:val="20"/>
      <w:szCs w:val="22"/>
      <w:lang w:val="fr-FR" w:eastAsia="en-US"/>
    </w:rPr>
  </w:style>
  <w:style w:type="paragraph" w:customStyle="1" w:styleId="ListNumber1-">
    <w:name w:val="List Number 1 (-)"/>
    <w:basedOn w:val="Normal"/>
    <w:rsid w:val="0040743C"/>
    <w:pPr>
      <w:tabs>
        <w:tab w:val="left" w:pos="403"/>
      </w:tabs>
      <w:spacing w:after="240" w:line="210" w:lineRule="atLeast"/>
      <w:ind w:left="403" w:hanging="403"/>
    </w:pPr>
    <w:rPr>
      <w:rFonts w:ascii="Cambria" w:eastAsia="Calibri" w:hAnsi="Cambria"/>
      <w:sz w:val="20"/>
      <w:szCs w:val="22"/>
      <w:lang w:val="fr-FR" w:eastAsia="en-US"/>
    </w:rPr>
  </w:style>
  <w:style w:type="table" w:styleId="TableGrid5">
    <w:name w:val="Table Grid 5"/>
    <w:basedOn w:val="TableNormal"/>
    <w:uiPriority w:val="99"/>
    <w:semiHidden/>
    <w:unhideWhenUsed/>
    <w:rsid w:val="007C194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uiPriority w:val="99"/>
    <w:rsid w:val="00BE4D92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uiPriority w:val="99"/>
    <w:rsid w:val="00BE4D92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zzCover">
    <w:name w:val="zzCover"/>
    <w:basedOn w:val="Normal"/>
    <w:link w:val="zzCoverChar"/>
    <w:rsid w:val="002F466B"/>
    <w:pPr>
      <w:spacing w:after="220" w:line="240" w:lineRule="atLeast"/>
      <w:jc w:val="right"/>
    </w:pPr>
    <w:rPr>
      <w:rFonts w:ascii="Cambria" w:eastAsia="MS Mincho" w:hAnsi="Cambria"/>
      <w:b/>
      <w:color w:val="000000"/>
      <w:sz w:val="26"/>
      <w:szCs w:val="20"/>
      <w:lang w:val="en-GB" w:eastAsia="ja-JP"/>
    </w:rPr>
  </w:style>
  <w:style w:type="character" w:customStyle="1" w:styleId="stddocNumber">
    <w:name w:val="std_docNumber"/>
    <w:rsid w:val="002F466B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2F466B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2F466B"/>
    <w:rPr>
      <w:rFonts w:ascii="Cambria" w:hAnsi="Cambria"/>
      <w:bdr w:val="none" w:sz="0" w:space="0" w:color="auto"/>
      <w:shd w:val="clear" w:color="auto" w:fill="C6D9F1"/>
    </w:rPr>
  </w:style>
  <w:style w:type="character" w:customStyle="1" w:styleId="stdyear">
    <w:name w:val="std_year"/>
    <w:rsid w:val="002F466B"/>
    <w:rPr>
      <w:rFonts w:ascii="Cambria" w:hAnsi="Cambria"/>
      <w:bdr w:val="none" w:sz="0" w:space="0" w:color="auto"/>
      <w:shd w:val="clear" w:color="auto" w:fill="DAEEF3"/>
    </w:rPr>
  </w:style>
  <w:style w:type="character" w:customStyle="1" w:styleId="zzCoverChar">
    <w:name w:val="zzCover Char"/>
    <w:basedOn w:val="DefaultParagraphFont"/>
    <w:link w:val="zzCover"/>
    <w:rsid w:val="002F466B"/>
    <w:rPr>
      <w:rFonts w:ascii="Cambria" w:eastAsia="MS Mincho" w:hAnsi="Cambria"/>
      <w:b/>
      <w:color w:val="000000"/>
      <w:sz w:val="2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0B0677"/>
    <w:rPr>
      <w:color w:val="666666"/>
    </w:rPr>
  </w:style>
  <w:style w:type="character" w:customStyle="1" w:styleId="citeapp">
    <w:name w:val="cite_app"/>
    <w:rsid w:val="00CD3682"/>
    <w:rPr>
      <w:rFonts w:ascii="Cambria" w:hAnsi="Cambria"/>
      <w:bdr w:val="none" w:sz="0" w:space="0" w:color="auto"/>
      <w:shd w:val="clear" w:color="auto" w:fill="CCFF33"/>
    </w:rPr>
  </w:style>
  <w:style w:type="character" w:customStyle="1" w:styleId="citesec">
    <w:name w:val="cite_sec"/>
    <w:rsid w:val="00CD3682"/>
    <w:rPr>
      <w:rFonts w:ascii="Cambria" w:hAnsi="Cambria"/>
      <w:bdr w:val="none" w:sz="0" w:space="0" w:color="auto"/>
      <w:shd w:val="clear" w:color="auto" w:fill="FFCCCC"/>
    </w:rPr>
  </w:style>
  <w:style w:type="character" w:customStyle="1" w:styleId="stddocumentType">
    <w:name w:val="std_documentType"/>
    <w:rsid w:val="00744B87"/>
    <w:rPr>
      <w:rFonts w:ascii="Cambria" w:hAnsi="Cambria"/>
      <w:bdr w:val="none" w:sz="0" w:space="0" w:color="auto"/>
      <w:shd w:val="clear" w:color="auto" w:fill="7DE1D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6A34B970C9148B2F7A55D2F91C775" ma:contentTypeVersion="4" ma:contentTypeDescription="Create a new document." ma:contentTypeScope="" ma:versionID="6234a3d805a444a53c6c7eed662e8d62">
  <xsd:schema xmlns:xsd="http://www.w3.org/2001/XMLSchema" xmlns:xs="http://www.w3.org/2001/XMLSchema" xmlns:p="http://schemas.microsoft.com/office/2006/metadata/properties" xmlns:ns2="39023067-0c52-433a-8dc9-4cfb069fdf60" targetNamespace="http://schemas.microsoft.com/office/2006/metadata/properties" ma:root="true" ma:fieldsID="18c96a28eb5afd6b8e84e6cfde3d7d42" ns2:_="">
    <xsd:import namespace="39023067-0c52-433a-8dc9-4cfb069f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3067-0c52-433a-8dc9-4cfb069f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9B245-D69A-40A7-8DB3-15F54FDF6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ACB9E-D677-4475-9A1A-9F3D644C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23067-0c52-433a-8dc9-4cfb069f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08923-5B7B-4B66-8B73-EDC730AFB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4</cp:revision>
  <cp:lastPrinted>2004-12-08T14:27:00Z</cp:lastPrinted>
  <dcterms:created xsi:type="dcterms:W3CDTF">2026-03-16T08:12:00Z</dcterms:created>
  <dcterms:modified xsi:type="dcterms:W3CDTF">2026-04-02T06:33:00Z</dcterms:modified>
</cp:coreProperties>
</file>